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9BCDA" w14:textId="77777777" w:rsidR="00853012" w:rsidRPr="001162FE" w:rsidRDefault="00123A68" w:rsidP="001162FE">
      <w:pPr>
        <w:jc w:val="center"/>
        <w:rPr>
          <w:b/>
          <w:sz w:val="28"/>
          <w:szCs w:val="28"/>
        </w:rPr>
      </w:pPr>
      <w:r w:rsidRPr="00123A68">
        <w:rPr>
          <w:noProof/>
          <w:lang w:eastAsia="en-NZ"/>
        </w:rPr>
        <w:drawing>
          <wp:inline distT="0" distB="0" distL="0" distR="0" wp14:anchorId="0DAE4C67" wp14:editId="72B5BFB7">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B755A8">
        <w:rPr>
          <w:b/>
          <w:sz w:val="28"/>
          <w:szCs w:val="28"/>
        </w:rPr>
        <w:t xml:space="preserve">Toothache &amp; </w:t>
      </w:r>
      <w:r w:rsidR="00FD6F87">
        <w:rPr>
          <w:b/>
          <w:sz w:val="28"/>
          <w:szCs w:val="28"/>
        </w:rPr>
        <w:t>Dental Infections</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76B00DD9" w14:textId="77777777" w:rsidTr="00877CF2">
        <w:trPr>
          <w:jc w:val="center"/>
        </w:trPr>
        <w:tc>
          <w:tcPr>
            <w:tcW w:w="1555" w:type="dxa"/>
          </w:tcPr>
          <w:p w14:paraId="024EC799" w14:textId="77777777" w:rsidR="001162FE" w:rsidRDefault="001162FE">
            <w:r>
              <w:t>Issue date:</w:t>
            </w:r>
          </w:p>
        </w:tc>
        <w:tc>
          <w:tcPr>
            <w:tcW w:w="1984" w:type="dxa"/>
          </w:tcPr>
          <w:p w14:paraId="234BE83D" w14:textId="77777777" w:rsidR="001162FE" w:rsidRDefault="001162FE"/>
        </w:tc>
        <w:tc>
          <w:tcPr>
            <w:tcW w:w="1843" w:type="dxa"/>
          </w:tcPr>
          <w:p w14:paraId="321933B8" w14:textId="77777777" w:rsidR="001162FE" w:rsidRDefault="001162FE">
            <w:r>
              <w:t>Review date:</w:t>
            </w:r>
          </w:p>
        </w:tc>
        <w:tc>
          <w:tcPr>
            <w:tcW w:w="2268" w:type="dxa"/>
          </w:tcPr>
          <w:p w14:paraId="0BE1F63C" w14:textId="77777777" w:rsidR="001162FE" w:rsidRDefault="001162FE"/>
        </w:tc>
      </w:tr>
    </w:tbl>
    <w:p w14:paraId="5B10248F" w14:textId="77777777" w:rsidR="001162FE" w:rsidRDefault="001162FE"/>
    <w:p w14:paraId="15575CFD"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54DAD9CA" w14:textId="77777777" w:rsidTr="001162FE">
        <w:tc>
          <w:tcPr>
            <w:tcW w:w="2689" w:type="dxa"/>
          </w:tcPr>
          <w:p w14:paraId="539723FC" w14:textId="77777777" w:rsidR="001162FE" w:rsidRPr="0064385C" w:rsidRDefault="00877CF2">
            <w:pPr>
              <w:rPr>
                <w:b/>
              </w:rPr>
            </w:pPr>
            <w:r w:rsidRPr="0064385C">
              <w:rPr>
                <w:b/>
              </w:rPr>
              <w:t>Standing Order Name</w:t>
            </w:r>
          </w:p>
        </w:tc>
        <w:tc>
          <w:tcPr>
            <w:tcW w:w="8073" w:type="dxa"/>
          </w:tcPr>
          <w:p w14:paraId="684C5EB9" w14:textId="77777777" w:rsidR="001162FE" w:rsidRDefault="00B755A8">
            <w:r>
              <w:t>Toothache &amp; Dental Infections</w:t>
            </w:r>
          </w:p>
        </w:tc>
      </w:tr>
      <w:tr w:rsidR="001162FE" w14:paraId="152D2199" w14:textId="77777777" w:rsidTr="001162FE">
        <w:tc>
          <w:tcPr>
            <w:tcW w:w="2689" w:type="dxa"/>
          </w:tcPr>
          <w:p w14:paraId="6AE1FA83" w14:textId="77777777" w:rsidR="001162FE" w:rsidRPr="0064385C" w:rsidRDefault="00877CF2">
            <w:pPr>
              <w:rPr>
                <w:b/>
              </w:rPr>
            </w:pPr>
            <w:r w:rsidRPr="0064385C">
              <w:rPr>
                <w:b/>
              </w:rPr>
              <w:t>Rationale</w:t>
            </w:r>
          </w:p>
        </w:tc>
        <w:tc>
          <w:tcPr>
            <w:tcW w:w="8073" w:type="dxa"/>
          </w:tcPr>
          <w:p w14:paraId="7A547583" w14:textId="0E17333B" w:rsidR="001162FE" w:rsidRDefault="00B755A8" w:rsidP="00B755A8">
            <w:r>
              <w:t xml:space="preserve">To provide symptomatic relief </w:t>
            </w:r>
            <w:r w:rsidR="00397551">
              <w:t xml:space="preserve">of toothache </w:t>
            </w:r>
            <w:r>
              <w:t>and treat bacterial dental infecti</w:t>
            </w:r>
            <w:r w:rsidR="008C5E06">
              <w:t>ons with appropriate antibiotics until patient can be seen by a dentist</w:t>
            </w:r>
            <w:r>
              <w:t>.</w:t>
            </w:r>
          </w:p>
        </w:tc>
      </w:tr>
      <w:tr w:rsidR="001162FE" w14:paraId="6E0FE85C" w14:textId="77777777" w:rsidTr="001162FE">
        <w:tc>
          <w:tcPr>
            <w:tcW w:w="2689" w:type="dxa"/>
          </w:tcPr>
          <w:p w14:paraId="7F6E998F" w14:textId="77777777" w:rsidR="00877CF2" w:rsidRPr="0064385C" w:rsidRDefault="008C2A3F">
            <w:pPr>
              <w:rPr>
                <w:b/>
              </w:rPr>
            </w:pPr>
            <w:r w:rsidRPr="0064385C">
              <w:rPr>
                <w:b/>
              </w:rPr>
              <w:t>Scope (condition and patient group)</w:t>
            </w:r>
          </w:p>
        </w:tc>
        <w:tc>
          <w:tcPr>
            <w:tcW w:w="8073" w:type="dxa"/>
          </w:tcPr>
          <w:p w14:paraId="5105FEE1" w14:textId="30292182" w:rsidR="001162FE" w:rsidRDefault="008C5E06" w:rsidP="000565F2">
            <w:r>
              <w:t>A</w:t>
            </w:r>
            <w:r w:rsidR="00B755A8">
              <w:t xml:space="preserve">dults that present with toothache +/- </w:t>
            </w:r>
            <w:r>
              <w:t>gingivitis and associated</w:t>
            </w:r>
            <w:r w:rsidR="00C96B8C">
              <w:t xml:space="preserve"> facial swelling</w:t>
            </w:r>
          </w:p>
        </w:tc>
      </w:tr>
      <w:tr w:rsidR="000E47A6" w14:paraId="4D48CE5C" w14:textId="77777777" w:rsidTr="001162FE">
        <w:tc>
          <w:tcPr>
            <w:tcW w:w="2689" w:type="dxa"/>
          </w:tcPr>
          <w:p w14:paraId="7351FD77" w14:textId="77777777" w:rsidR="000E47A6" w:rsidRPr="0064385C" w:rsidRDefault="000E47A6">
            <w:pPr>
              <w:rPr>
                <w:b/>
              </w:rPr>
            </w:pPr>
            <w:r>
              <w:rPr>
                <w:b/>
              </w:rPr>
              <w:t>Red Flags</w:t>
            </w:r>
          </w:p>
        </w:tc>
        <w:tc>
          <w:tcPr>
            <w:tcW w:w="8073" w:type="dxa"/>
          </w:tcPr>
          <w:p w14:paraId="2B75BBBD" w14:textId="77777777" w:rsidR="000E47A6" w:rsidRDefault="00B755A8" w:rsidP="00B755A8">
            <w:pPr>
              <w:pStyle w:val="ListParagraph"/>
              <w:numPr>
                <w:ilvl w:val="0"/>
                <w:numId w:val="1"/>
              </w:numPr>
            </w:pPr>
            <w:r>
              <w:t>Dental infection causing compromised airway</w:t>
            </w:r>
          </w:p>
          <w:p w14:paraId="5EAFFEBA" w14:textId="77777777" w:rsidR="00B755A8" w:rsidRDefault="00B755A8" w:rsidP="00B755A8">
            <w:pPr>
              <w:pStyle w:val="ListParagraph"/>
              <w:numPr>
                <w:ilvl w:val="0"/>
                <w:numId w:val="1"/>
              </w:numPr>
            </w:pPr>
            <w:r>
              <w:t>Severe facial swelling</w:t>
            </w:r>
          </w:p>
          <w:p w14:paraId="7514DC6B" w14:textId="77777777" w:rsidR="00B755A8" w:rsidRDefault="00B755A8" w:rsidP="00B755A8">
            <w:pPr>
              <w:pStyle w:val="ListParagraph"/>
              <w:numPr>
                <w:ilvl w:val="0"/>
                <w:numId w:val="1"/>
              </w:numPr>
            </w:pPr>
            <w:r>
              <w:t>Severe trismus</w:t>
            </w:r>
          </w:p>
          <w:p w14:paraId="20CC00D6" w14:textId="11628748" w:rsidR="00397551" w:rsidRDefault="00397551" w:rsidP="00B755A8">
            <w:pPr>
              <w:pStyle w:val="ListParagraph"/>
              <w:numPr>
                <w:ilvl w:val="0"/>
                <w:numId w:val="1"/>
              </w:numPr>
            </w:pPr>
            <w:r>
              <w:t>Systemic symptoms including pyrexia, tachycardia</w:t>
            </w:r>
          </w:p>
        </w:tc>
      </w:tr>
      <w:tr w:rsidR="001162FE" w14:paraId="6AEFF5CA" w14:textId="77777777" w:rsidTr="001162FE">
        <w:tc>
          <w:tcPr>
            <w:tcW w:w="2689" w:type="dxa"/>
          </w:tcPr>
          <w:p w14:paraId="7D21773C" w14:textId="77777777" w:rsidR="001162FE" w:rsidRPr="0064385C" w:rsidRDefault="008C2A3F">
            <w:pPr>
              <w:rPr>
                <w:b/>
              </w:rPr>
            </w:pPr>
            <w:r w:rsidRPr="0064385C">
              <w:rPr>
                <w:b/>
              </w:rPr>
              <w:t>Assessment</w:t>
            </w:r>
          </w:p>
        </w:tc>
        <w:tc>
          <w:tcPr>
            <w:tcW w:w="8073" w:type="dxa"/>
          </w:tcPr>
          <w:p w14:paraId="07E83482" w14:textId="50D0621E" w:rsidR="00C96B8C" w:rsidRDefault="00DB4B19" w:rsidP="00DB4B19">
            <w:r>
              <w:t xml:space="preserve">1. </w:t>
            </w:r>
            <w:r w:rsidR="00C96B8C" w:rsidRPr="00C96B8C">
              <w:t>If any red flags, request acute dental assessment.</w:t>
            </w:r>
          </w:p>
          <w:p w14:paraId="04047BCC" w14:textId="77777777" w:rsidR="00DB4B19" w:rsidRPr="00DB4B19" w:rsidRDefault="00DB4B19" w:rsidP="00DB4B19">
            <w:pPr>
              <w:rPr>
                <w:sz w:val="8"/>
                <w:szCs w:val="8"/>
              </w:rPr>
            </w:pPr>
          </w:p>
          <w:p w14:paraId="72330E81" w14:textId="269D1D4A" w:rsidR="00C96B8C" w:rsidRPr="00C96B8C" w:rsidRDefault="00DB4B19" w:rsidP="00DB4B19">
            <w:r>
              <w:t xml:space="preserve">2. </w:t>
            </w:r>
            <w:r w:rsidR="00C96B8C" w:rsidRPr="00C96B8C">
              <w:t>Determine the cause of the pain:</w:t>
            </w:r>
          </w:p>
          <w:p w14:paraId="2BC05C4E" w14:textId="77777777" w:rsidR="00C96B8C" w:rsidRPr="00C96B8C" w:rsidRDefault="00C96B8C" w:rsidP="00C96B8C">
            <w:pPr>
              <w:numPr>
                <w:ilvl w:val="1"/>
                <w:numId w:val="2"/>
              </w:numPr>
            </w:pPr>
            <w:r w:rsidRPr="00C96B8C">
              <w:t xml:space="preserve">If this is a local problem associated with a tooth (trauma, swelling, ulceration, erupting tooth, decay), request dental assessment. </w:t>
            </w:r>
          </w:p>
          <w:p w14:paraId="0DA1F67A" w14:textId="56B97695" w:rsidR="00C96B8C" w:rsidRDefault="00A40704" w:rsidP="00C96B8C">
            <w:pPr>
              <w:numPr>
                <w:ilvl w:val="1"/>
                <w:numId w:val="2"/>
              </w:numPr>
            </w:pPr>
            <w:r>
              <w:t xml:space="preserve">If referred pain e.g., </w:t>
            </w:r>
            <w:r w:rsidRPr="00A40704">
              <w:t>Temporomandibular joint dysfunction</w:t>
            </w:r>
            <w:r w:rsidR="00C96B8C" w:rsidRPr="00C96B8C">
              <w:t>, ear or sinus infection</w:t>
            </w:r>
            <w:r>
              <w:t>;</w:t>
            </w:r>
            <w:r w:rsidR="00DB4B19">
              <w:t xml:space="preserve"> refer to Medical or Nurse P</w:t>
            </w:r>
            <w:r w:rsidR="00C96B8C">
              <w:t>ractitioner</w:t>
            </w:r>
            <w:r w:rsidR="00C96B8C" w:rsidRPr="00C96B8C">
              <w:t>.</w:t>
            </w:r>
          </w:p>
          <w:p w14:paraId="2EEE046C" w14:textId="77777777" w:rsidR="00DB4B19" w:rsidRDefault="00DB4B19" w:rsidP="00DB4B19">
            <w:pPr>
              <w:ind w:left="1440"/>
              <w:rPr>
                <w:sz w:val="8"/>
                <w:szCs w:val="8"/>
              </w:rPr>
            </w:pPr>
          </w:p>
          <w:p w14:paraId="7C2C7640" w14:textId="77777777" w:rsidR="00DB4B19" w:rsidRPr="00DB4B19" w:rsidRDefault="00DB4B19" w:rsidP="00DB4B19">
            <w:pPr>
              <w:ind w:left="1440"/>
              <w:rPr>
                <w:sz w:val="8"/>
                <w:szCs w:val="8"/>
              </w:rPr>
            </w:pPr>
          </w:p>
          <w:p w14:paraId="626AB6C4" w14:textId="53BF21CA" w:rsidR="00C96B8C" w:rsidRPr="00C96B8C" w:rsidRDefault="00DB4B19" w:rsidP="00DB4B19">
            <w:r>
              <w:t xml:space="preserve">3. </w:t>
            </w:r>
            <w:r w:rsidR="00C96B8C" w:rsidRPr="00C96B8C">
              <w:t>If dental care is not ava</w:t>
            </w:r>
            <w:r>
              <w:t xml:space="preserve">ilable (e.g., after hours), and </w:t>
            </w:r>
            <w:r w:rsidR="00C96B8C" w:rsidRPr="00C96B8C">
              <w:t xml:space="preserve">pain is localised to the mouth, and there is no redness or swelling around the tooth, it is likely to be an </w:t>
            </w:r>
            <w:r w:rsidR="00C96B8C">
              <w:t>acute pulpitis.</w:t>
            </w:r>
            <w:r w:rsidR="00C96B8C" w:rsidRPr="00C96B8C">
              <w:t xml:space="preserve"> Give analgesia only</w:t>
            </w:r>
            <w:r w:rsidR="00303AE2">
              <w:t xml:space="preserve"> </w:t>
            </w:r>
            <w:r>
              <w:t xml:space="preserve">and follow the Pain Relief (mild to moderate) </w:t>
            </w:r>
            <w:r w:rsidR="00C96B8C">
              <w:t>Standing Order</w:t>
            </w:r>
            <w:r w:rsidR="00C96B8C" w:rsidRPr="00C96B8C">
              <w:t>, and advise the patient to see a dental practitioner</w:t>
            </w:r>
            <w:r w:rsidR="00A40704">
              <w:t xml:space="preserve"> as soon as possible</w:t>
            </w:r>
            <w:r w:rsidR="00C96B8C" w:rsidRPr="00C96B8C">
              <w:t>.</w:t>
            </w:r>
          </w:p>
          <w:p w14:paraId="50C17F58" w14:textId="77777777" w:rsidR="00DB4B19" w:rsidRPr="00DB4B19" w:rsidRDefault="00DB4B19" w:rsidP="00DB4B19">
            <w:pPr>
              <w:rPr>
                <w:bCs/>
                <w:sz w:val="8"/>
                <w:szCs w:val="8"/>
              </w:rPr>
            </w:pPr>
          </w:p>
          <w:p w14:paraId="32F2734B" w14:textId="393B5755" w:rsidR="00C96B8C" w:rsidRPr="00DB4B19" w:rsidRDefault="00DB4B19" w:rsidP="00DB4B19">
            <w:pPr>
              <w:rPr>
                <w:vanish/>
              </w:rPr>
            </w:pPr>
            <w:r>
              <w:rPr>
                <w:bCs/>
              </w:rPr>
              <w:t xml:space="preserve">4. </w:t>
            </w:r>
            <w:r w:rsidR="00C96B8C" w:rsidRPr="00DB4B19">
              <w:rPr>
                <w:bCs/>
              </w:rPr>
              <w:t xml:space="preserve">If </w:t>
            </w:r>
            <w:r w:rsidR="00C96B8C" w:rsidRPr="00DB4B19">
              <w:rPr>
                <w:vanish/>
              </w:rPr>
              <w:t xml:space="preserve"> </w:t>
            </w:r>
          </w:p>
          <w:p w14:paraId="1A3DC1EA" w14:textId="77777777" w:rsidR="00C96B8C" w:rsidRPr="00C96B8C" w:rsidRDefault="00C96B8C" w:rsidP="00C96B8C">
            <w:pPr>
              <w:pStyle w:val="ListParagraph"/>
              <w:numPr>
                <w:ilvl w:val="0"/>
                <w:numId w:val="2"/>
              </w:numPr>
              <w:rPr>
                <w:vanish/>
              </w:rPr>
            </w:pPr>
            <w:r w:rsidRPr="00C96B8C">
              <w:rPr>
                <w:vanish/>
              </w:rPr>
              <w:t>Acute pulpitis is when the tooth pulp suffers inflammation, exerting pressure over the pulp chamber. This affects the nerve and other connective tissues of the tooth causing mild to extreme pain.</w:t>
            </w:r>
          </w:p>
          <w:p w14:paraId="465CA342" w14:textId="728317DE" w:rsidR="001162FE" w:rsidRDefault="00C96B8C" w:rsidP="00DB4B19">
            <w:pPr>
              <w:numPr>
                <w:ilvl w:val="1"/>
                <w:numId w:val="2"/>
              </w:numPr>
            </w:pPr>
            <w:r w:rsidRPr="00C96B8C">
              <w:t xml:space="preserve">there is swelling, it is likely to be an abscess. </w:t>
            </w:r>
          </w:p>
        </w:tc>
      </w:tr>
      <w:tr w:rsidR="001162FE" w14:paraId="23463E31" w14:textId="77777777" w:rsidTr="001162FE">
        <w:tc>
          <w:tcPr>
            <w:tcW w:w="2689" w:type="dxa"/>
          </w:tcPr>
          <w:p w14:paraId="12B525EB" w14:textId="77777777" w:rsidR="001162FE" w:rsidRPr="0064385C" w:rsidRDefault="0064385C">
            <w:pPr>
              <w:rPr>
                <w:b/>
              </w:rPr>
            </w:pPr>
            <w:r>
              <w:rPr>
                <w:b/>
              </w:rPr>
              <w:t>Indication</w:t>
            </w:r>
          </w:p>
        </w:tc>
        <w:tc>
          <w:tcPr>
            <w:tcW w:w="8073" w:type="dxa"/>
          </w:tcPr>
          <w:p w14:paraId="4A7C72A0" w14:textId="77777777" w:rsidR="001162FE" w:rsidRPr="001468D6" w:rsidRDefault="00C96B8C">
            <w:pPr>
              <w:rPr>
                <w:b/>
              </w:rPr>
            </w:pPr>
            <w:r w:rsidRPr="001468D6">
              <w:rPr>
                <w:b/>
              </w:rPr>
              <w:t>Dental pain with swelling</w:t>
            </w:r>
          </w:p>
        </w:tc>
      </w:tr>
      <w:tr w:rsidR="001162FE" w14:paraId="176F5A09" w14:textId="77777777" w:rsidTr="001162FE">
        <w:tc>
          <w:tcPr>
            <w:tcW w:w="2689" w:type="dxa"/>
          </w:tcPr>
          <w:p w14:paraId="58CC9E03" w14:textId="77777777" w:rsidR="001162FE" w:rsidRPr="0064385C" w:rsidRDefault="00877CF2">
            <w:pPr>
              <w:rPr>
                <w:b/>
              </w:rPr>
            </w:pPr>
            <w:r w:rsidRPr="0064385C">
              <w:rPr>
                <w:b/>
              </w:rPr>
              <w:t>Medicine</w:t>
            </w:r>
          </w:p>
        </w:tc>
        <w:tc>
          <w:tcPr>
            <w:tcW w:w="8073" w:type="dxa"/>
          </w:tcPr>
          <w:p w14:paraId="3CD6CC7B" w14:textId="67CA56DD" w:rsidR="001162FE" w:rsidRPr="00956A68" w:rsidRDefault="00956A68">
            <w:pPr>
              <w:rPr>
                <w:b/>
              </w:rPr>
            </w:pPr>
            <w:r w:rsidRPr="00956A68">
              <w:rPr>
                <w:b/>
              </w:rPr>
              <w:t>Amoxicillin</w:t>
            </w:r>
            <w:r w:rsidR="00C96B8C" w:rsidRPr="00956A68">
              <w:rPr>
                <w:b/>
              </w:rPr>
              <w:t xml:space="preserve"> </w:t>
            </w:r>
          </w:p>
        </w:tc>
      </w:tr>
      <w:tr w:rsidR="001162FE" w14:paraId="57818270" w14:textId="77777777" w:rsidTr="001162FE">
        <w:tc>
          <w:tcPr>
            <w:tcW w:w="2689" w:type="dxa"/>
          </w:tcPr>
          <w:p w14:paraId="25DDCC76" w14:textId="77777777" w:rsidR="00877CF2" w:rsidRPr="0064385C" w:rsidRDefault="00877CF2">
            <w:pPr>
              <w:rPr>
                <w:b/>
              </w:rPr>
            </w:pPr>
            <w:r w:rsidRPr="0064385C">
              <w:rPr>
                <w:b/>
              </w:rPr>
              <w:t>Dosage instructions</w:t>
            </w:r>
          </w:p>
        </w:tc>
        <w:tc>
          <w:tcPr>
            <w:tcW w:w="8073" w:type="dxa"/>
          </w:tcPr>
          <w:p w14:paraId="269905D5" w14:textId="3DA3ADEF" w:rsidR="00C65FEA" w:rsidRDefault="00C65FEA">
            <w:r>
              <w:t>500mg THREE times daily for 5 days</w:t>
            </w:r>
          </w:p>
        </w:tc>
      </w:tr>
      <w:tr w:rsidR="001162FE" w14:paraId="5286352A" w14:textId="77777777" w:rsidTr="001162FE">
        <w:tc>
          <w:tcPr>
            <w:tcW w:w="2689" w:type="dxa"/>
          </w:tcPr>
          <w:p w14:paraId="1E75D629" w14:textId="77777777" w:rsidR="001162FE" w:rsidRPr="0064385C" w:rsidRDefault="00877CF2">
            <w:pPr>
              <w:rPr>
                <w:b/>
              </w:rPr>
            </w:pPr>
            <w:r w:rsidRPr="0064385C">
              <w:rPr>
                <w:b/>
              </w:rPr>
              <w:t>Route of administration</w:t>
            </w:r>
          </w:p>
        </w:tc>
        <w:tc>
          <w:tcPr>
            <w:tcW w:w="8073" w:type="dxa"/>
          </w:tcPr>
          <w:p w14:paraId="29A5A3B6" w14:textId="77777777" w:rsidR="001162FE" w:rsidRDefault="00C65FEA">
            <w:r>
              <w:t>Oral</w:t>
            </w:r>
          </w:p>
        </w:tc>
      </w:tr>
      <w:tr w:rsidR="001162FE" w14:paraId="3F3A0AF1" w14:textId="77777777" w:rsidTr="001162FE">
        <w:tc>
          <w:tcPr>
            <w:tcW w:w="2689" w:type="dxa"/>
          </w:tcPr>
          <w:p w14:paraId="01B26101" w14:textId="77777777" w:rsidR="001162FE" w:rsidRPr="0064385C" w:rsidRDefault="0064385C" w:rsidP="0064385C">
            <w:pPr>
              <w:rPr>
                <w:b/>
              </w:rPr>
            </w:pPr>
            <w:r>
              <w:rPr>
                <w:b/>
              </w:rPr>
              <w:t>Quantity to be given</w:t>
            </w:r>
          </w:p>
        </w:tc>
        <w:tc>
          <w:tcPr>
            <w:tcW w:w="8073" w:type="dxa"/>
          </w:tcPr>
          <w:p w14:paraId="3340278D" w14:textId="6C2CB741" w:rsidR="001162FE" w:rsidRDefault="00DC6A4B" w:rsidP="00DC6A4B">
            <w:r>
              <w:t>15 x 500mg capsules</w:t>
            </w:r>
          </w:p>
        </w:tc>
      </w:tr>
      <w:tr w:rsidR="001162FE" w14:paraId="33C40CF2" w14:textId="77777777" w:rsidTr="001162FE">
        <w:tc>
          <w:tcPr>
            <w:tcW w:w="2689" w:type="dxa"/>
          </w:tcPr>
          <w:p w14:paraId="30C28B4E" w14:textId="77777777" w:rsidR="001162FE" w:rsidRPr="0064385C" w:rsidRDefault="00877CF2">
            <w:pPr>
              <w:rPr>
                <w:b/>
              </w:rPr>
            </w:pPr>
            <w:r w:rsidRPr="0064385C">
              <w:rPr>
                <w:b/>
              </w:rPr>
              <w:t>Contraindications</w:t>
            </w:r>
          </w:p>
        </w:tc>
        <w:tc>
          <w:tcPr>
            <w:tcW w:w="8073" w:type="dxa"/>
          </w:tcPr>
          <w:p w14:paraId="3266FB50" w14:textId="7B991D1A" w:rsidR="001162FE" w:rsidRDefault="007025E1">
            <w:r>
              <w:t xml:space="preserve">Allergy to </w:t>
            </w:r>
            <w:r w:rsidR="008C5E06">
              <w:t>penicillin’s</w:t>
            </w:r>
          </w:p>
        </w:tc>
      </w:tr>
      <w:tr w:rsidR="001162FE" w14:paraId="6508442C" w14:textId="77777777" w:rsidTr="001162FE">
        <w:tc>
          <w:tcPr>
            <w:tcW w:w="2689" w:type="dxa"/>
          </w:tcPr>
          <w:p w14:paraId="03317470" w14:textId="77777777" w:rsidR="001162FE" w:rsidRPr="0064385C" w:rsidRDefault="00877CF2">
            <w:pPr>
              <w:rPr>
                <w:b/>
              </w:rPr>
            </w:pPr>
            <w:r w:rsidRPr="0064385C">
              <w:rPr>
                <w:b/>
              </w:rPr>
              <w:t>Precautions</w:t>
            </w:r>
          </w:p>
        </w:tc>
        <w:tc>
          <w:tcPr>
            <w:tcW w:w="8073" w:type="dxa"/>
          </w:tcPr>
          <w:p w14:paraId="1B4C9BF8" w14:textId="79EE2BDA" w:rsidR="001162FE" w:rsidRDefault="000565F2">
            <w:r>
              <w:t>Renal impairment</w:t>
            </w:r>
          </w:p>
        </w:tc>
      </w:tr>
      <w:tr w:rsidR="00273693" w14:paraId="425245AF" w14:textId="77777777" w:rsidTr="001162FE">
        <w:tc>
          <w:tcPr>
            <w:tcW w:w="2689" w:type="dxa"/>
          </w:tcPr>
          <w:p w14:paraId="36A6BC33" w14:textId="77777777" w:rsidR="00273693" w:rsidRPr="00DC6A4B" w:rsidRDefault="00273693">
            <w:pPr>
              <w:rPr>
                <w:b/>
                <w:sz w:val="8"/>
                <w:szCs w:val="8"/>
              </w:rPr>
            </w:pPr>
          </w:p>
        </w:tc>
        <w:tc>
          <w:tcPr>
            <w:tcW w:w="8073" w:type="dxa"/>
          </w:tcPr>
          <w:p w14:paraId="358ECCC4" w14:textId="77777777" w:rsidR="00273693" w:rsidRPr="00DC6A4B" w:rsidRDefault="00273693">
            <w:pPr>
              <w:rPr>
                <w:sz w:val="8"/>
                <w:szCs w:val="8"/>
              </w:rPr>
            </w:pPr>
          </w:p>
        </w:tc>
      </w:tr>
      <w:tr w:rsidR="001468D6" w14:paraId="3D6CEC5D" w14:textId="77777777" w:rsidTr="001162FE">
        <w:tc>
          <w:tcPr>
            <w:tcW w:w="2689" w:type="dxa"/>
          </w:tcPr>
          <w:p w14:paraId="6A05ED57" w14:textId="77777777" w:rsidR="001468D6" w:rsidRPr="0064385C" w:rsidRDefault="001468D6">
            <w:pPr>
              <w:rPr>
                <w:b/>
              </w:rPr>
            </w:pPr>
          </w:p>
        </w:tc>
        <w:tc>
          <w:tcPr>
            <w:tcW w:w="8073" w:type="dxa"/>
          </w:tcPr>
          <w:p w14:paraId="006F0058" w14:textId="5344C816" w:rsidR="001468D6" w:rsidRPr="001468D6" w:rsidRDefault="001468D6">
            <w:pPr>
              <w:rPr>
                <w:b/>
              </w:rPr>
            </w:pPr>
            <w:r w:rsidRPr="001468D6">
              <w:rPr>
                <w:b/>
              </w:rPr>
              <w:t>Dental pain with swelling for people with penicillin allergy</w:t>
            </w:r>
          </w:p>
        </w:tc>
      </w:tr>
      <w:tr w:rsidR="00C96B8C" w14:paraId="13D5D6C2" w14:textId="77777777" w:rsidTr="001162FE">
        <w:tc>
          <w:tcPr>
            <w:tcW w:w="2689" w:type="dxa"/>
          </w:tcPr>
          <w:p w14:paraId="092C3CFB" w14:textId="77777777" w:rsidR="00C96B8C" w:rsidRPr="0064385C" w:rsidRDefault="00C65FEA">
            <w:pPr>
              <w:rPr>
                <w:b/>
              </w:rPr>
            </w:pPr>
            <w:r>
              <w:rPr>
                <w:b/>
              </w:rPr>
              <w:t>Medicine</w:t>
            </w:r>
          </w:p>
        </w:tc>
        <w:tc>
          <w:tcPr>
            <w:tcW w:w="8073" w:type="dxa"/>
          </w:tcPr>
          <w:p w14:paraId="012C195E" w14:textId="6490A823" w:rsidR="00C96B8C" w:rsidRDefault="00DC6A4B">
            <w:r>
              <w:t>Erythromycin 400mg tablets</w:t>
            </w:r>
          </w:p>
        </w:tc>
      </w:tr>
      <w:tr w:rsidR="00C96B8C" w14:paraId="7493EB95" w14:textId="77777777" w:rsidTr="001162FE">
        <w:tc>
          <w:tcPr>
            <w:tcW w:w="2689" w:type="dxa"/>
          </w:tcPr>
          <w:p w14:paraId="0D9C9F61" w14:textId="77777777" w:rsidR="00C96B8C" w:rsidRPr="0064385C" w:rsidRDefault="00C65FEA">
            <w:pPr>
              <w:rPr>
                <w:b/>
              </w:rPr>
            </w:pPr>
            <w:r>
              <w:rPr>
                <w:b/>
              </w:rPr>
              <w:t>Dosage instructions</w:t>
            </w:r>
          </w:p>
        </w:tc>
        <w:tc>
          <w:tcPr>
            <w:tcW w:w="8073" w:type="dxa"/>
          </w:tcPr>
          <w:p w14:paraId="4C9B157B" w14:textId="3BBA9F67" w:rsidR="00273693" w:rsidRDefault="00072ED5" w:rsidP="00072ED5">
            <w:r>
              <w:t>80</w:t>
            </w:r>
            <w:r w:rsidR="00DC6A4B">
              <w:t xml:space="preserve">0mg </w:t>
            </w:r>
            <w:r>
              <w:t>TWICE</w:t>
            </w:r>
            <w:r w:rsidR="00DC6A4B">
              <w:t xml:space="preserve"> daily for 5 day</w:t>
            </w:r>
            <w:r>
              <w:t>s</w:t>
            </w:r>
          </w:p>
        </w:tc>
      </w:tr>
      <w:tr w:rsidR="00C96B8C" w14:paraId="3EC94DBD" w14:textId="77777777" w:rsidTr="001162FE">
        <w:tc>
          <w:tcPr>
            <w:tcW w:w="2689" w:type="dxa"/>
          </w:tcPr>
          <w:p w14:paraId="69C197D5" w14:textId="77777777" w:rsidR="00C96B8C" w:rsidRPr="0064385C" w:rsidRDefault="00C65FEA">
            <w:pPr>
              <w:rPr>
                <w:b/>
              </w:rPr>
            </w:pPr>
            <w:r>
              <w:rPr>
                <w:b/>
              </w:rPr>
              <w:t>Route of administration</w:t>
            </w:r>
          </w:p>
        </w:tc>
        <w:tc>
          <w:tcPr>
            <w:tcW w:w="8073" w:type="dxa"/>
          </w:tcPr>
          <w:p w14:paraId="42EAA503" w14:textId="77777777" w:rsidR="00C96B8C" w:rsidRDefault="00C65FEA">
            <w:r>
              <w:t>Oral</w:t>
            </w:r>
          </w:p>
        </w:tc>
      </w:tr>
      <w:tr w:rsidR="00C96B8C" w14:paraId="338D7C09" w14:textId="77777777" w:rsidTr="001162FE">
        <w:tc>
          <w:tcPr>
            <w:tcW w:w="2689" w:type="dxa"/>
          </w:tcPr>
          <w:p w14:paraId="4BB829D8" w14:textId="77777777" w:rsidR="00C96B8C" w:rsidRPr="0064385C" w:rsidRDefault="00C65FEA">
            <w:pPr>
              <w:rPr>
                <w:b/>
              </w:rPr>
            </w:pPr>
            <w:r>
              <w:rPr>
                <w:b/>
              </w:rPr>
              <w:t>Quantity to be given</w:t>
            </w:r>
          </w:p>
        </w:tc>
        <w:tc>
          <w:tcPr>
            <w:tcW w:w="8073" w:type="dxa"/>
          </w:tcPr>
          <w:p w14:paraId="732A29AB" w14:textId="57D6FA2C" w:rsidR="00C96B8C" w:rsidRDefault="00072ED5">
            <w:r>
              <w:t>20</w:t>
            </w:r>
            <w:r w:rsidR="00C65FEA">
              <w:t xml:space="preserve"> x 400mg tablets</w:t>
            </w:r>
          </w:p>
        </w:tc>
      </w:tr>
      <w:tr w:rsidR="00C65FEA" w14:paraId="04D23EF9" w14:textId="77777777" w:rsidTr="001162FE">
        <w:tc>
          <w:tcPr>
            <w:tcW w:w="2689" w:type="dxa"/>
          </w:tcPr>
          <w:p w14:paraId="55DC22EF" w14:textId="77777777" w:rsidR="00C65FEA" w:rsidRPr="0064385C" w:rsidRDefault="00C65FEA">
            <w:pPr>
              <w:rPr>
                <w:b/>
              </w:rPr>
            </w:pPr>
            <w:r>
              <w:rPr>
                <w:b/>
              </w:rPr>
              <w:t>Contraindications</w:t>
            </w:r>
          </w:p>
        </w:tc>
        <w:tc>
          <w:tcPr>
            <w:tcW w:w="8073" w:type="dxa"/>
          </w:tcPr>
          <w:p w14:paraId="79351778" w14:textId="6370D18A" w:rsidR="00C65FEA" w:rsidRDefault="007025E1" w:rsidP="00072ED5">
            <w:r w:rsidRPr="007025E1">
              <w:t xml:space="preserve">Known hypersensitivity </w:t>
            </w:r>
            <w:r w:rsidR="00072ED5">
              <w:t xml:space="preserve">to </w:t>
            </w:r>
            <w:r w:rsidR="008C5E06">
              <w:t>erythromycin</w:t>
            </w:r>
          </w:p>
        </w:tc>
      </w:tr>
      <w:tr w:rsidR="00C65FEA" w14:paraId="2E15DAFC" w14:textId="77777777" w:rsidTr="001162FE">
        <w:tc>
          <w:tcPr>
            <w:tcW w:w="2689" w:type="dxa"/>
          </w:tcPr>
          <w:p w14:paraId="10C68AFC" w14:textId="77777777" w:rsidR="00C65FEA" w:rsidRPr="0064385C" w:rsidRDefault="00C65FEA">
            <w:pPr>
              <w:rPr>
                <w:b/>
              </w:rPr>
            </w:pPr>
            <w:r>
              <w:rPr>
                <w:b/>
              </w:rPr>
              <w:t>Precautions</w:t>
            </w:r>
          </w:p>
        </w:tc>
        <w:tc>
          <w:tcPr>
            <w:tcW w:w="8073" w:type="dxa"/>
          </w:tcPr>
          <w:p w14:paraId="57FA081B" w14:textId="2E3E3E87" w:rsidR="00C65FEA" w:rsidRDefault="008C5E06" w:rsidP="007025E1">
            <w:pPr>
              <w:numPr>
                <w:ilvl w:val="0"/>
                <w:numId w:val="4"/>
              </w:numPr>
            </w:pPr>
            <w:r>
              <w:t>Multiple drug to drug interactions- check</w:t>
            </w:r>
          </w:p>
        </w:tc>
      </w:tr>
      <w:tr w:rsidR="008C2A3F" w14:paraId="5825B3EF" w14:textId="77777777" w:rsidTr="001162FE">
        <w:tc>
          <w:tcPr>
            <w:tcW w:w="2689" w:type="dxa"/>
          </w:tcPr>
          <w:p w14:paraId="177ED3F6" w14:textId="77777777" w:rsidR="008C2A3F" w:rsidRPr="0064385C" w:rsidRDefault="008C2A3F" w:rsidP="008C2A3F">
            <w:pPr>
              <w:rPr>
                <w:b/>
              </w:rPr>
            </w:pPr>
            <w:r w:rsidRPr="0064385C">
              <w:rPr>
                <w:b/>
              </w:rPr>
              <w:t>Additional info</w:t>
            </w:r>
            <w:bookmarkStart w:id="0" w:name="_GoBack"/>
            <w:bookmarkEnd w:id="0"/>
            <w:r w:rsidRPr="0064385C">
              <w:rPr>
                <w:b/>
              </w:rPr>
              <w:t>rmation</w:t>
            </w:r>
          </w:p>
        </w:tc>
        <w:tc>
          <w:tcPr>
            <w:tcW w:w="8073" w:type="dxa"/>
          </w:tcPr>
          <w:p w14:paraId="688857F8" w14:textId="044EC24E" w:rsidR="00576CDA" w:rsidRDefault="001468D6" w:rsidP="00956A68">
            <w:pPr>
              <w:rPr>
                <w:lang w:val="en"/>
              </w:rPr>
            </w:pPr>
            <w:r w:rsidRPr="001468D6">
              <w:rPr>
                <w:b/>
                <w:bCs/>
                <w:lang w:val="en"/>
              </w:rPr>
              <w:t>Management in primary care</w:t>
            </w:r>
            <w:r w:rsidRPr="001468D6">
              <w:rPr>
                <w:lang w:val="en"/>
              </w:rPr>
              <w:t xml:space="preserve"> - the patient needs to be seen by a dental practitioner. In the interim, pain can be managed with regular analgesics </w:t>
            </w:r>
            <w:r w:rsidR="00E66305">
              <w:rPr>
                <w:lang w:val="en"/>
              </w:rPr>
              <w:t xml:space="preserve">as per Pain </w:t>
            </w:r>
            <w:r w:rsidR="00956A68">
              <w:rPr>
                <w:lang w:val="en"/>
              </w:rPr>
              <w:t xml:space="preserve">Relief (mild to moderate) </w:t>
            </w:r>
            <w:r w:rsidR="00E66305">
              <w:rPr>
                <w:lang w:val="en"/>
              </w:rPr>
              <w:t xml:space="preserve">Standing Order. </w:t>
            </w:r>
          </w:p>
          <w:p w14:paraId="76901D45" w14:textId="77777777" w:rsidR="00DC6A4B" w:rsidRPr="00DC6A4B" w:rsidRDefault="00DC6A4B" w:rsidP="00956A68">
            <w:pPr>
              <w:rPr>
                <w:sz w:val="8"/>
                <w:szCs w:val="8"/>
                <w:lang w:val="en"/>
              </w:rPr>
            </w:pPr>
          </w:p>
          <w:p w14:paraId="58734B8D" w14:textId="3FCE4DB8" w:rsidR="00956A68" w:rsidRDefault="001468D6" w:rsidP="00956A68">
            <w:pPr>
              <w:rPr>
                <w:lang w:val="en"/>
              </w:rPr>
            </w:pPr>
            <w:r w:rsidRPr="001468D6">
              <w:rPr>
                <w:lang w:val="en"/>
              </w:rPr>
              <w:t xml:space="preserve">Advise the patient to consume cool, soft food and to avoid very hot or cold foods and drinks. Patients should avoid flossing the affected tooth. </w:t>
            </w:r>
          </w:p>
          <w:p w14:paraId="0BC9F8BB" w14:textId="77777777" w:rsidR="00956A68" w:rsidRPr="00956A68" w:rsidRDefault="00956A68" w:rsidP="00956A68">
            <w:pPr>
              <w:rPr>
                <w:sz w:val="8"/>
                <w:szCs w:val="8"/>
                <w:lang w:val="en"/>
              </w:rPr>
            </w:pPr>
          </w:p>
          <w:p w14:paraId="26F35097" w14:textId="5A26564F" w:rsidR="001468D6" w:rsidRPr="001468D6" w:rsidRDefault="001468D6" w:rsidP="00956A68">
            <w:pPr>
              <w:rPr>
                <w:lang w:val="en"/>
              </w:rPr>
            </w:pPr>
            <w:r w:rsidRPr="001468D6">
              <w:rPr>
                <w:lang w:val="en"/>
              </w:rPr>
              <w:t>Consider antibiotics only in the absence of immediate attention by a dental practitioner and if:</w:t>
            </w:r>
          </w:p>
          <w:p w14:paraId="5F6770A8" w14:textId="77777777" w:rsidR="001468D6" w:rsidRPr="001468D6" w:rsidRDefault="001468D6" w:rsidP="00956A68">
            <w:pPr>
              <w:numPr>
                <w:ilvl w:val="0"/>
                <w:numId w:val="5"/>
              </w:numPr>
              <w:rPr>
                <w:lang w:val="en"/>
              </w:rPr>
            </w:pPr>
            <w:r w:rsidRPr="001468D6">
              <w:rPr>
                <w:lang w:val="en"/>
              </w:rPr>
              <w:lastRenderedPageBreak/>
              <w:t>The infection appears to be severe (fever, lymphadenopathy, cellulitis, diffuse swelling).</w:t>
            </w:r>
          </w:p>
          <w:p w14:paraId="779632BF" w14:textId="5A88B20F" w:rsidR="008C2A3F" w:rsidRPr="00DC6A4B" w:rsidRDefault="001468D6" w:rsidP="008C2A3F">
            <w:pPr>
              <w:numPr>
                <w:ilvl w:val="0"/>
                <w:numId w:val="5"/>
              </w:numPr>
              <w:rPr>
                <w:lang w:val="en"/>
              </w:rPr>
            </w:pPr>
            <w:r w:rsidRPr="001468D6">
              <w:rPr>
                <w:lang w:val="en"/>
              </w:rPr>
              <w:t>Patients are at risk of developing complications (eg, people who are immunocompromised or have diabetes or valvular heart disease).</w:t>
            </w:r>
          </w:p>
        </w:tc>
      </w:tr>
      <w:tr w:rsidR="008C2A3F" w14:paraId="73436CBA" w14:textId="77777777" w:rsidTr="001162FE">
        <w:tc>
          <w:tcPr>
            <w:tcW w:w="2689" w:type="dxa"/>
          </w:tcPr>
          <w:p w14:paraId="3974BD0E" w14:textId="77777777" w:rsidR="008C2A3F" w:rsidRPr="0064385C" w:rsidRDefault="008C2A3F" w:rsidP="008C2A3F">
            <w:pPr>
              <w:rPr>
                <w:b/>
              </w:rPr>
            </w:pPr>
            <w:r w:rsidRPr="0064385C">
              <w:rPr>
                <w:b/>
              </w:rPr>
              <w:lastRenderedPageBreak/>
              <w:t>Follow-up</w:t>
            </w:r>
          </w:p>
        </w:tc>
        <w:tc>
          <w:tcPr>
            <w:tcW w:w="8073" w:type="dxa"/>
          </w:tcPr>
          <w:p w14:paraId="4E8584C6" w14:textId="4BA94316" w:rsidR="008C2A3F" w:rsidRDefault="00E66305" w:rsidP="008C2A3F">
            <w:r>
              <w:t>Follow up within 24-48 hours if no improvement, sooner if increasing malaise or any Red Flags.</w:t>
            </w:r>
          </w:p>
        </w:tc>
      </w:tr>
      <w:tr w:rsidR="0070113B" w14:paraId="21EB4C8E" w14:textId="77777777" w:rsidTr="001162FE">
        <w:tc>
          <w:tcPr>
            <w:tcW w:w="2689" w:type="dxa"/>
          </w:tcPr>
          <w:p w14:paraId="7CAF22BD" w14:textId="77777777" w:rsidR="0070113B" w:rsidRPr="0064385C" w:rsidRDefault="0070113B" w:rsidP="0070113B">
            <w:pPr>
              <w:rPr>
                <w:b/>
              </w:rPr>
            </w:pPr>
            <w:r w:rsidRPr="0064385C">
              <w:rPr>
                <w:b/>
              </w:rPr>
              <w:t>Countersigning and auditing</w:t>
            </w:r>
          </w:p>
        </w:tc>
        <w:tc>
          <w:tcPr>
            <w:tcW w:w="8073" w:type="dxa"/>
          </w:tcPr>
          <w:p w14:paraId="65D4A092" w14:textId="77777777" w:rsidR="0070113B" w:rsidRDefault="0070113B" w:rsidP="0070113B">
            <w:r>
              <w:t>Countersigning is not required. Audited monthly.</w:t>
            </w:r>
          </w:p>
          <w:p w14:paraId="2921013E" w14:textId="77777777" w:rsidR="0070113B" w:rsidRPr="0070113B" w:rsidRDefault="0070113B" w:rsidP="0070113B">
            <w:pPr>
              <w:rPr>
                <w:b/>
              </w:rPr>
            </w:pPr>
            <w:r w:rsidRPr="0070113B">
              <w:rPr>
                <w:b/>
              </w:rPr>
              <w:t xml:space="preserve">OR </w:t>
            </w:r>
          </w:p>
          <w:p w14:paraId="72397931" w14:textId="77777777" w:rsidR="0070113B" w:rsidRDefault="0070113B" w:rsidP="0070113B">
            <w:r>
              <w:t xml:space="preserve">Countersigning is required within </w:t>
            </w:r>
            <w:r w:rsidRPr="00070579">
              <w:rPr>
                <w:b/>
                <w:i/>
              </w:rPr>
              <w:t>XX</w:t>
            </w:r>
            <w:r>
              <w:t xml:space="preserve"> days</w:t>
            </w:r>
          </w:p>
        </w:tc>
      </w:tr>
      <w:tr w:rsidR="0070113B" w14:paraId="323E0D4B" w14:textId="77777777" w:rsidTr="001162FE">
        <w:tc>
          <w:tcPr>
            <w:tcW w:w="2689" w:type="dxa"/>
          </w:tcPr>
          <w:p w14:paraId="5AE4B1E2" w14:textId="77777777" w:rsidR="0070113B" w:rsidRPr="0064385C" w:rsidRDefault="0070113B" w:rsidP="0070113B">
            <w:pPr>
              <w:rPr>
                <w:b/>
              </w:rPr>
            </w:pPr>
            <w:r w:rsidRPr="0064385C">
              <w:rPr>
                <w:b/>
              </w:rPr>
              <w:t>Competency/training requirements</w:t>
            </w:r>
          </w:p>
        </w:tc>
        <w:tc>
          <w:tcPr>
            <w:tcW w:w="8073" w:type="dxa"/>
          </w:tcPr>
          <w:p w14:paraId="12892430" w14:textId="77777777" w:rsidR="0070113B" w:rsidRDefault="0070113B" w:rsidP="0070113B">
            <w:r>
              <w:t>All nurses working under this standing order must be signed off as competent to do so by the issuer and have had specific training in this standing order.</w:t>
            </w:r>
          </w:p>
        </w:tc>
      </w:tr>
      <w:tr w:rsidR="0070113B" w14:paraId="1317E89A" w14:textId="77777777" w:rsidTr="001162FE">
        <w:tc>
          <w:tcPr>
            <w:tcW w:w="2689" w:type="dxa"/>
          </w:tcPr>
          <w:p w14:paraId="1190D782" w14:textId="77777777" w:rsidR="0070113B" w:rsidRPr="0064385C" w:rsidRDefault="0070113B" w:rsidP="0070113B">
            <w:pPr>
              <w:rPr>
                <w:b/>
              </w:rPr>
            </w:pPr>
            <w:r w:rsidRPr="0064385C">
              <w:rPr>
                <w:b/>
              </w:rPr>
              <w:t>Supporting documentation</w:t>
            </w:r>
          </w:p>
        </w:tc>
        <w:tc>
          <w:tcPr>
            <w:tcW w:w="8073" w:type="dxa"/>
          </w:tcPr>
          <w:p w14:paraId="7CA840DB" w14:textId="77777777" w:rsidR="00476AA6" w:rsidRDefault="00476AA6" w:rsidP="00476AA6">
            <w:r>
              <w:t xml:space="preserve">Healthpathways at </w:t>
            </w:r>
            <w:hyperlink r:id="rId8" w:history="1">
              <w:r w:rsidRPr="00254A91">
                <w:rPr>
                  <w:rStyle w:val="Hyperlink"/>
                </w:rPr>
                <w:t>www.healthpathways.org.nz</w:t>
              </w:r>
            </w:hyperlink>
            <w:r>
              <w:t xml:space="preserve"> </w:t>
            </w:r>
          </w:p>
          <w:p w14:paraId="5DCD1F52" w14:textId="77777777" w:rsidR="00476AA6" w:rsidRDefault="00476AA6" w:rsidP="00476AA6">
            <w:r>
              <w:t xml:space="preserve">Best Practice Journal at </w:t>
            </w:r>
            <w:hyperlink r:id="rId9" w:history="1">
              <w:r w:rsidRPr="00254A91">
                <w:rPr>
                  <w:rStyle w:val="Hyperlink"/>
                </w:rPr>
                <w:t>www.bpac.org.nz</w:t>
              </w:r>
            </w:hyperlink>
            <w:r>
              <w:t xml:space="preserve"> </w:t>
            </w:r>
          </w:p>
          <w:p w14:paraId="2137801B" w14:textId="77777777" w:rsidR="00476AA6" w:rsidRDefault="00476AA6" w:rsidP="00476AA6">
            <w:r>
              <w:t xml:space="preserve">New Zealand Formulary at </w:t>
            </w:r>
            <w:hyperlink r:id="rId10" w:history="1">
              <w:r w:rsidRPr="00254A91">
                <w:rPr>
                  <w:rStyle w:val="Hyperlink"/>
                </w:rPr>
                <w:t>www.nzf.org.nz</w:t>
              </w:r>
            </w:hyperlink>
            <w:r>
              <w:t xml:space="preserve"> </w:t>
            </w:r>
          </w:p>
          <w:p w14:paraId="693A5430" w14:textId="77777777" w:rsidR="00476AA6" w:rsidRDefault="00476AA6" w:rsidP="00476AA6">
            <w:r>
              <w:t xml:space="preserve">Individual medicine data sheets at </w:t>
            </w:r>
            <w:hyperlink r:id="rId11" w:history="1">
              <w:r w:rsidRPr="00254A91">
                <w:rPr>
                  <w:rStyle w:val="Hyperlink"/>
                </w:rPr>
                <w:t>www.medsafe.govt.nz</w:t>
              </w:r>
            </w:hyperlink>
            <w:r>
              <w:t xml:space="preserve"> </w:t>
            </w:r>
          </w:p>
          <w:p w14:paraId="7DBCA11B" w14:textId="77777777" w:rsidR="005216BC" w:rsidRDefault="00476AA6" w:rsidP="0070113B">
            <w:r>
              <w:t>Standing Order Guidelines, Ministry of Health, 2012</w:t>
            </w:r>
          </w:p>
          <w:p w14:paraId="487D89AF" w14:textId="77777777" w:rsidR="00447028" w:rsidRDefault="00447028" w:rsidP="0070113B">
            <w:r>
              <w:t>Medicines (Standing Order) Regulations 2012 (Standing Order Regulations)</w:t>
            </w:r>
          </w:p>
        </w:tc>
      </w:tr>
      <w:tr w:rsidR="0070113B" w14:paraId="7678F177" w14:textId="77777777" w:rsidTr="001162FE">
        <w:tc>
          <w:tcPr>
            <w:tcW w:w="2689" w:type="dxa"/>
          </w:tcPr>
          <w:p w14:paraId="17431040" w14:textId="77777777" w:rsidR="0070113B" w:rsidRPr="0064385C" w:rsidRDefault="0070113B" w:rsidP="0070113B">
            <w:pPr>
              <w:rPr>
                <w:b/>
              </w:rPr>
            </w:pPr>
            <w:r w:rsidRPr="0064385C">
              <w:rPr>
                <w:b/>
              </w:rPr>
              <w:t>Definition of terms used in standing order</w:t>
            </w:r>
          </w:p>
        </w:tc>
        <w:tc>
          <w:tcPr>
            <w:tcW w:w="8073" w:type="dxa"/>
          </w:tcPr>
          <w:p w14:paraId="02D3127D" w14:textId="7CA13DE5" w:rsidR="0070113B" w:rsidRDefault="00DB4B19" w:rsidP="0070113B">
            <w:r w:rsidRPr="00DB4B19">
              <w:rPr>
                <w:u w:val="single"/>
              </w:rPr>
              <w:t>Trismus</w:t>
            </w:r>
            <w:r>
              <w:t>-  spasm of the jaw muscles, leading to reduced opening of the mouth.</w:t>
            </w:r>
          </w:p>
        </w:tc>
      </w:tr>
    </w:tbl>
    <w:p w14:paraId="18D45AF2" w14:textId="77777777" w:rsidR="001162FE" w:rsidRDefault="001162FE"/>
    <w:p w14:paraId="25B1B1EF"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246361AC" w14:textId="77777777" w:rsidTr="00FD6F87">
        <w:tc>
          <w:tcPr>
            <w:tcW w:w="2689" w:type="dxa"/>
          </w:tcPr>
          <w:p w14:paraId="2D03E442" w14:textId="77777777" w:rsidR="008C2A3F" w:rsidRPr="0064385C" w:rsidRDefault="008C2A3F" w:rsidP="00FD6F87">
            <w:pPr>
              <w:rPr>
                <w:b/>
              </w:rPr>
            </w:pPr>
            <w:r w:rsidRPr="0064385C">
              <w:rPr>
                <w:b/>
              </w:rPr>
              <w:t>Medical Centre or Clinic</w:t>
            </w:r>
            <w:r w:rsidR="0064385C" w:rsidRPr="0064385C">
              <w:rPr>
                <w:b/>
              </w:rPr>
              <w:t>:</w:t>
            </w:r>
          </w:p>
        </w:tc>
        <w:tc>
          <w:tcPr>
            <w:tcW w:w="8073" w:type="dxa"/>
          </w:tcPr>
          <w:p w14:paraId="095887EE" w14:textId="77777777" w:rsidR="008C2A3F" w:rsidRDefault="008C2A3F" w:rsidP="00FD6F87"/>
        </w:tc>
      </w:tr>
    </w:tbl>
    <w:p w14:paraId="13A6BD68" w14:textId="77777777" w:rsidR="001162FE" w:rsidRDefault="001162FE"/>
    <w:tbl>
      <w:tblPr>
        <w:tblStyle w:val="TableGrid"/>
        <w:tblW w:w="0" w:type="auto"/>
        <w:tblLook w:val="04A0" w:firstRow="1" w:lastRow="0" w:firstColumn="1" w:lastColumn="0" w:noHBand="0" w:noVBand="1"/>
      </w:tblPr>
      <w:tblGrid>
        <w:gridCol w:w="2122"/>
      </w:tblGrid>
      <w:tr w:rsidR="001162FE" w14:paraId="33FF649F" w14:textId="77777777" w:rsidTr="00877CF2">
        <w:tc>
          <w:tcPr>
            <w:tcW w:w="2122" w:type="dxa"/>
          </w:tcPr>
          <w:p w14:paraId="7EBD01EA" w14:textId="77777777" w:rsidR="001162FE" w:rsidRPr="0064385C" w:rsidRDefault="00877CF2">
            <w:pPr>
              <w:rPr>
                <w:b/>
              </w:rPr>
            </w:pPr>
            <w:r w:rsidRPr="0064385C">
              <w:rPr>
                <w:b/>
              </w:rPr>
              <w:t>Signed by issuers</w:t>
            </w:r>
          </w:p>
        </w:tc>
      </w:tr>
    </w:tbl>
    <w:p w14:paraId="67C3EFEA" w14:textId="77777777" w:rsidR="001162FE" w:rsidRDefault="001162FE"/>
    <w:p w14:paraId="62D7E123" w14:textId="77777777" w:rsidR="001162FE" w:rsidRDefault="001162FE">
      <w:r>
        <w:t>Name:</w:t>
      </w:r>
      <w:r>
        <w:tab/>
        <w:t>____________________________</w:t>
      </w:r>
      <w:r>
        <w:tab/>
      </w:r>
      <w:r>
        <w:tab/>
        <w:t>Signature: __________________________</w:t>
      </w:r>
    </w:p>
    <w:p w14:paraId="0EE4E298"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07F80858" w14:textId="77777777" w:rsidTr="0064385C">
        <w:trPr>
          <w:trHeight w:val="123"/>
        </w:trPr>
        <w:tc>
          <w:tcPr>
            <w:tcW w:w="4531" w:type="dxa"/>
          </w:tcPr>
          <w:p w14:paraId="7DD5A3C0" w14:textId="77777777" w:rsidR="001162FE" w:rsidRPr="0064385C" w:rsidRDefault="001162FE">
            <w:pPr>
              <w:rPr>
                <w:b/>
              </w:rPr>
            </w:pPr>
            <w:r w:rsidRPr="0064385C">
              <w:rPr>
                <w:b/>
              </w:rPr>
              <w:t>Nurses operating under this standing order</w:t>
            </w:r>
          </w:p>
        </w:tc>
      </w:tr>
    </w:tbl>
    <w:p w14:paraId="5164DABB" w14:textId="77777777" w:rsidR="001162FE" w:rsidRDefault="001162FE"/>
    <w:p w14:paraId="25280BB5" w14:textId="77777777" w:rsidR="0064385C" w:rsidRDefault="0064385C" w:rsidP="0064385C">
      <w:r>
        <w:t xml:space="preserve">Only Registered nurses working within the above medical centre or clinic are authorised to administer medication under this standing order. </w:t>
      </w:r>
    </w:p>
    <w:p w14:paraId="0C55D515" w14:textId="77777777" w:rsidR="001162FE" w:rsidRDefault="001162FE">
      <w:r>
        <w:t>We the undersigned agree that we have read, understood and will comply with this standing order and all associated documents.</w:t>
      </w:r>
    </w:p>
    <w:p w14:paraId="53DC2E31" w14:textId="77777777" w:rsidR="001162FE" w:rsidRDefault="001162FE"/>
    <w:p w14:paraId="40E4E40B" w14:textId="77777777" w:rsidR="001162FE" w:rsidRDefault="001162FE">
      <w:r>
        <w:t>Name: ______________________   Signature: __________________________  Date: ______________</w:t>
      </w:r>
    </w:p>
    <w:p w14:paraId="280D5676" w14:textId="77777777" w:rsidR="001162FE" w:rsidRDefault="001162FE" w:rsidP="001162FE">
      <w:r>
        <w:t>Name: ______________________   Signature: __________________________  Date: ______________</w:t>
      </w:r>
    </w:p>
    <w:p w14:paraId="22BAA5E4" w14:textId="77777777" w:rsidR="001162FE" w:rsidRDefault="001162FE" w:rsidP="001162FE">
      <w:r>
        <w:t>Name: ______________________   Signature: __________________________  Date: ______________</w:t>
      </w:r>
    </w:p>
    <w:p w14:paraId="6D7AD811" w14:textId="77777777" w:rsidR="001162FE" w:rsidRDefault="001162FE" w:rsidP="001162FE">
      <w:r>
        <w:t>Name: ______________________   Signature: __________________________  Date: ______________</w:t>
      </w:r>
    </w:p>
    <w:p w14:paraId="1CC005E1" w14:textId="77777777" w:rsidR="001162FE" w:rsidRDefault="001162FE"/>
    <w:sectPr w:rsidR="001162FE" w:rsidSect="00D270A8">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C8115" w14:textId="77777777" w:rsidR="00956A68" w:rsidRDefault="00956A68" w:rsidP="0025588A">
      <w:pPr>
        <w:spacing w:after="0" w:line="240" w:lineRule="auto"/>
      </w:pPr>
      <w:r>
        <w:separator/>
      </w:r>
    </w:p>
  </w:endnote>
  <w:endnote w:type="continuationSeparator" w:id="0">
    <w:p w14:paraId="23DED219" w14:textId="77777777" w:rsidR="00956A68" w:rsidRDefault="00956A68" w:rsidP="0025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2303" w14:textId="15D4D78A" w:rsidR="00956A68" w:rsidRDefault="008C5E06">
    <w:pPr>
      <w:pStyle w:val="Footer"/>
    </w:pPr>
    <w:r>
      <w:t>Toothache &amp; Dental Infections</w:t>
    </w:r>
    <w:r>
      <w:t xml:space="preserve"> Standing Order       </w:t>
    </w:r>
    <w:r>
      <w:tab/>
      <w:t>January 2016</w:t>
    </w:r>
    <w:r w:rsidR="00956A68">
      <w:tab/>
      <w:t>WellSouth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A88D" w14:textId="77777777" w:rsidR="00956A68" w:rsidRDefault="00956A68" w:rsidP="0025588A">
      <w:pPr>
        <w:spacing w:after="0" w:line="240" w:lineRule="auto"/>
      </w:pPr>
      <w:r>
        <w:separator/>
      </w:r>
    </w:p>
  </w:footnote>
  <w:footnote w:type="continuationSeparator" w:id="0">
    <w:p w14:paraId="565E4980" w14:textId="77777777" w:rsidR="00956A68" w:rsidRDefault="00956A68" w:rsidP="0025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D31"/>
    <w:multiLevelType w:val="hybridMultilevel"/>
    <w:tmpl w:val="65085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446211E"/>
    <w:multiLevelType w:val="hybridMultilevel"/>
    <w:tmpl w:val="46AA4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74E1148"/>
    <w:multiLevelType w:val="hybridMultilevel"/>
    <w:tmpl w:val="7012DC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02D31B3"/>
    <w:multiLevelType w:val="multilevel"/>
    <w:tmpl w:val="9DC89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72BE3"/>
    <w:multiLevelType w:val="multilevel"/>
    <w:tmpl w:val="B4FA68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565F2"/>
    <w:rsid w:val="00072ED5"/>
    <w:rsid w:val="000E47A6"/>
    <w:rsid w:val="001162FE"/>
    <w:rsid w:val="00123A68"/>
    <w:rsid w:val="001468D6"/>
    <w:rsid w:val="0025588A"/>
    <w:rsid w:val="00273693"/>
    <w:rsid w:val="002A4F5D"/>
    <w:rsid w:val="00303AE2"/>
    <w:rsid w:val="00397551"/>
    <w:rsid w:val="00447028"/>
    <w:rsid w:val="00476AA6"/>
    <w:rsid w:val="005216BC"/>
    <w:rsid w:val="00576CDA"/>
    <w:rsid w:val="0064385C"/>
    <w:rsid w:val="0070113B"/>
    <w:rsid w:val="007025E1"/>
    <w:rsid w:val="00853012"/>
    <w:rsid w:val="00877CF2"/>
    <w:rsid w:val="008C2A3F"/>
    <w:rsid w:val="008C5E06"/>
    <w:rsid w:val="00956A68"/>
    <w:rsid w:val="009D2C0E"/>
    <w:rsid w:val="00A40704"/>
    <w:rsid w:val="00B755A8"/>
    <w:rsid w:val="00C65FEA"/>
    <w:rsid w:val="00C96B8C"/>
    <w:rsid w:val="00D270A8"/>
    <w:rsid w:val="00DB4B19"/>
    <w:rsid w:val="00DC6A4B"/>
    <w:rsid w:val="00E66305"/>
    <w:rsid w:val="00FD6F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9A04"/>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Header">
    <w:name w:val="header"/>
    <w:basedOn w:val="Normal"/>
    <w:link w:val="HeaderChar"/>
    <w:uiPriority w:val="99"/>
    <w:unhideWhenUsed/>
    <w:rsid w:val="0025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8A"/>
  </w:style>
  <w:style w:type="paragraph" w:styleId="Footer">
    <w:name w:val="footer"/>
    <w:basedOn w:val="Normal"/>
    <w:link w:val="FooterChar"/>
    <w:uiPriority w:val="99"/>
    <w:unhideWhenUsed/>
    <w:rsid w:val="0025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8A"/>
  </w:style>
  <w:style w:type="paragraph" w:styleId="ListParagraph">
    <w:name w:val="List Paragraph"/>
    <w:basedOn w:val="Normal"/>
    <w:uiPriority w:val="34"/>
    <w:qFormat/>
    <w:rsid w:val="00B755A8"/>
    <w:pPr>
      <w:ind w:left="720"/>
      <w:contextualSpacing/>
    </w:pPr>
  </w:style>
  <w:style w:type="character" w:styleId="FollowedHyperlink">
    <w:name w:val="FollowedHyperlink"/>
    <w:basedOn w:val="DefaultParagraphFont"/>
    <w:uiPriority w:val="99"/>
    <w:semiHidden/>
    <w:unhideWhenUsed/>
    <w:rsid w:val="00C96B8C"/>
    <w:rPr>
      <w:color w:val="954F72" w:themeColor="followedHyperlink"/>
      <w:u w:val="single"/>
    </w:rPr>
  </w:style>
  <w:style w:type="character" w:styleId="CommentReference">
    <w:name w:val="annotation reference"/>
    <w:basedOn w:val="DefaultParagraphFont"/>
    <w:uiPriority w:val="99"/>
    <w:semiHidden/>
    <w:unhideWhenUsed/>
    <w:rsid w:val="00C65FEA"/>
    <w:rPr>
      <w:sz w:val="16"/>
      <w:szCs w:val="16"/>
    </w:rPr>
  </w:style>
  <w:style w:type="paragraph" w:styleId="CommentText">
    <w:name w:val="annotation text"/>
    <w:basedOn w:val="Normal"/>
    <w:link w:val="CommentTextChar"/>
    <w:uiPriority w:val="99"/>
    <w:semiHidden/>
    <w:unhideWhenUsed/>
    <w:rsid w:val="00C65FEA"/>
    <w:pPr>
      <w:spacing w:line="240" w:lineRule="auto"/>
    </w:pPr>
    <w:rPr>
      <w:sz w:val="20"/>
      <w:szCs w:val="20"/>
    </w:rPr>
  </w:style>
  <w:style w:type="character" w:customStyle="1" w:styleId="CommentTextChar">
    <w:name w:val="Comment Text Char"/>
    <w:basedOn w:val="DefaultParagraphFont"/>
    <w:link w:val="CommentText"/>
    <w:uiPriority w:val="99"/>
    <w:semiHidden/>
    <w:rsid w:val="00C65FEA"/>
    <w:rPr>
      <w:sz w:val="20"/>
      <w:szCs w:val="20"/>
    </w:rPr>
  </w:style>
  <w:style w:type="paragraph" w:styleId="CommentSubject">
    <w:name w:val="annotation subject"/>
    <w:basedOn w:val="CommentText"/>
    <w:next w:val="CommentText"/>
    <w:link w:val="CommentSubjectChar"/>
    <w:uiPriority w:val="99"/>
    <w:semiHidden/>
    <w:unhideWhenUsed/>
    <w:rsid w:val="00C65FEA"/>
    <w:rPr>
      <w:b/>
      <w:bCs/>
    </w:rPr>
  </w:style>
  <w:style w:type="character" w:customStyle="1" w:styleId="CommentSubjectChar">
    <w:name w:val="Comment Subject Char"/>
    <w:basedOn w:val="CommentTextChar"/>
    <w:link w:val="CommentSubject"/>
    <w:uiPriority w:val="99"/>
    <w:semiHidden/>
    <w:rsid w:val="00C65FEA"/>
    <w:rPr>
      <w:b/>
      <w:bCs/>
      <w:sz w:val="20"/>
      <w:szCs w:val="20"/>
    </w:rPr>
  </w:style>
  <w:style w:type="paragraph" w:styleId="BalloonText">
    <w:name w:val="Balloon Text"/>
    <w:basedOn w:val="Normal"/>
    <w:link w:val="BalloonTextChar"/>
    <w:uiPriority w:val="99"/>
    <w:semiHidden/>
    <w:unhideWhenUsed/>
    <w:rsid w:val="00C6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EA"/>
    <w:rPr>
      <w:rFonts w:ascii="Segoe UI" w:hAnsi="Segoe UI" w:cs="Segoe UI"/>
      <w:sz w:val="18"/>
      <w:szCs w:val="18"/>
    </w:rPr>
  </w:style>
  <w:style w:type="paragraph" w:styleId="Revision">
    <w:name w:val="Revision"/>
    <w:hidden/>
    <w:uiPriority w:val="99"/>
    <w:semiHidden/>
    <w:rsid w:val="00A40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7787">
      <w:bodyDiv w:val="1"/>
      <w:marLeft w:val="1"/>
      <w:marRight w:val="3"/>
      <w:marTop w:val="15"/>
      <w:marBottom w:val="0"/>
      <w:divBdr>
        <w:top w:val="none" w:sz="0" w:space="0" w:color="auto"/>
        <w:left w:val="none" w:sz="0" w:space="0" w:color="auto"/>
        <w:bottom w:val="none" w:sz="0" w:space="0" w:color="auto"/>
        <w:right w:val="none" w:sz="0" w:space="0" w:color="auto"/>
      </w:divBdr>
      <w:divsChild>
        <w:div w:id="850100155">
          <w:marLeft w:val="0"/>
          <w:marRight w:val="0"/>
          <w:marTop w:val="0"/>
          <w:marBottom w:val="0"/>
          <w:divBdr>
            <w:top w:val="none" w:sz="0" w:space="0" w:color="auto"/>
            <w:left w:val="none" w:sz="0" w:space="0" w:color="auto"/>
            <w:bottom w:val="none" w:sz="0" w:space="0" w:color="auto"/>
            <w:right w:val="none" w:sz="0" w:space="0" w:color="auto"/>
          </w:divBdr>
          <w:divsChild>
            <w:div w:id="1169637042">
              <w:marLeft w:val="284"/>
              <w:marRight w:val="284"/>
              <w:marTop w:val="284"/>
              <w:marBottom w:val="284"/>
              <w:divBdr>
                <w:top w:val="single" w:sz="6" w:space="7" w:color="FFFFFF"/>
                <w:left w:val="single" w:sz="6" w:space="7" w:color="FFFFFF"/>
                <w:bottom w:val="single" w:sz="6" w:space="7" w:color="FFFFFF"/>
                <w:right w:val="single" w:sz="6" w:space="7" w:color="FFFFFF"/>
              </w:divBdr>
            </w:div>
            <w:div w:id="1281959403">
              <w:marLeft w:val="284"/>
              <w:marRight w:val="284"/>
              <w:marTop w:val="284"/>
              <w:marBottom w:val="284"/>
              <w:divBdr>
                <w:top w:val="single" w:sz="6" w:space="7" w:color="FFFFFF"/>
                <w:left w:val="single" w:sz="6" w:space="7" w:color="FFFFFF"/>
                <w:bottom w:val="single" w:sz="6" w:space="7" w:color="FFFFFF"/>
                <w:right w:val="single" w:sz="6" w:space="7" w:color="FFFFFF"/>
              </w:divBdr>
            </w:div>
          </w:divsChild>
        </w:div>
      </w:divsChild>
    </w:div>
    <w:div w:id="2071492783">
      <w:bodyDiv w:val="1"/>
      <w:marLeft w:val="0"/>
      <w:marRight w:val="0"/>
      <w:marTop w:val="0"/>
      <w:marBottom w:val="0"/>
      <w:divBdr>
        <w:top w:val="none" w:sz="0" w:space="0" w:color="auto"/>
        <w:left w:val="none" w:sz="0" w:space="0" w:color="auto"/>
        <w:bottom w:val="none" w:sz="0" w:space="0" w:color="auto"/>
        <w:right w:val="none" w:sz="0" w:space="0" w:color="auto"/>
      </w:divBdr>
      <w:divsChild>
        <w:div w:id="773600753">
          <w:marLeft w:val="0"/>
          <w:marRight w:val="0"/>
          <w:marTop w:val="0"/>
          <w:marBottom w:val="0"/>
          <w:divBdr>
            <w:top w:val="none" w:sz="0" w:space="0" w:color="auto"/>
            <w:left w:val="none" w:sz="0" w:space="0" w:color="auto"/>
            <w:bottom w:val="none" w:sz="0" w:space="0" w:color="auto"/>
            <w:right w:val="none" w:sz="0" w:space="0" w:color="auto"/>
          </w:divBdr>
          <w:divsChild>
            <w:div w:id="2074889212">
              <w:marLeft w:val="0"/>
              <w:marRight w:val="0"/>
              <w:marTop w:val="0"/>
              <w:marBottom w:val="0"/>
              <w:divBdr>
                <w:top w:val="none" w:sz="0" w:space="0" w:color="auto"/>
                <w:left w:val="none" w:sz="0" w:space="0" w:color="auto"/>
                <w:bottom w:val="none" w:sz="0" w:space="0" w:color="auto"/>
                <w:right w:val="none" w:sz="0" w:space="0" w:color="auto"/>
              </w:divBdr>
              <w:divsChild>
                <w:div w:id="1383409897">
                  <w:marLeft w:val="0"/>
                  <w:marRight w:val="0"/>
                  <w:marTop w:val="0"/>
                  <w:marBottom w:val="0"/>
                  <w:divBdr>
                    <w:top w:val="none" w:sz="0" w:space="0" w:color="auto"/>
                    <w:left w:val="none" w:sz="0" w:space="0" w:color="auto"/>
                    <w:bottom w:val="none" w:sz="0" w:space="0" w:color="auto"/>
                    <w:right w:val="none" w:sz="0" w:space="0" w:color="auto"/>
                  </w:divBdr>
                  <w:divsChild>
                    <w:div w:id="1909068897">
                      <w:marLeft w:val="0"/>
                      <w:marRight w:val="0"/>
                      <w:marTop w:val="0"/>
                      <w:marBottom w:val="0"/>
                      <w:divBdr>
                        <w:top w:val="none" w:sz="0" w:space="0" w:color="auto"/>
                        <w:left w:val="none" w:sz="0" w:space="0" w:color="auto"/>
                        <w:bottom w:val="none" w:sz="0" w:space="0" w:color="auto"/>
                        <w:right w:val="none" w:sz="0" w:space="0" w:color="auto"/>
                      </w:divBdr>
                      <w:divsChild>
                        <w:div w:id="141237666">
                          <w:marLeft w:val="0"/>
                          <w:marRight w:val="0"/>
                          <w:marTop w:val="0"/>
                          <w:marBottom w:val="0"/>
                          <w:divBdr>
                            <w:top w:val="none" w:sz="0" w:space="0" w:color="auto"/>
                            <w:left w:val="none" w:sz="0" w:space="0" w:color="auto"/>
                            <w:bottom w:val="none" w:sz="0" w:space="0" w:color="auto"/>
                            <w:right w:val="none" w:sz="0" w:space="0" w:color="auto"/>
                          </w:divBdr>
                          <w:divsChild>
                            <w:div w:id="191499221">
                              <w:marLeft w:val="0"/>
                              <w:marRight w:val="0"/>
                              <w:marTop w:val="0"/>
                              <w:marBottom w:val="0"/>
                              <w:divBdr>
                                <w:top w:val="none" w:sz="0" w:space="0" w:color="auto"/>
                                <w:left w:val="none" w:sz="0" w:space="0" w:color="auto"/>
                                <w:bottom w:val="none" w:sz="0" w:space="0" w:color="auto"/>
                                <w:right w:val="none" w:sz="0" w:space="0" w:color="auto"/>
                              </w:divBdr>
                              <w:divsChild>
                                <w:div w:id="2117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0" Type="http://schemas.openxmlformats.org/officeDocument/2006/relationships/hyperlink" Target="http://www.nzf.org.nz" TargetMode="Externa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CB1F486B</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cp:revision>
  <dcterms:created xsi:type="dcterms:W3CDTF">2016-01-11T01:29:00Z</dcterms:created>
  <dcterms:modified xsi:type="dcterms:W3CDTF">2016-01-11T01:29:00Z</dcterms:modified>
</cp:coreProperties>
</file>