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1246" w14:textId="77777777" w:rsidR="00853012" w:rsidRPr="001162FE" w:rsidRDefault="00123A68" w:rsidP="001162FE">
      <w:pPr>
        <w:jc w:val="center"/>
        <w:rPr>
          <w:b/>
          <w:sz w:val="28"/>
          <w:szCs w:val="28"/>
        </w:rPr>
      </w:pPr>
      <w:r w:rsidRPr="00123A68">
        <w:rPr>
          <w:noProof/>
          <w:lang w:eastAsia="en-NZ"/>
        </w:rPr>
        <w:drawing>
          <wp:inline distT="0" distB="0" distL="0" distR="0" wp14:anchorId="36BDD5D7" wp14:editId="2BC157AC">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A026CB">
        <w:rPr>
          <w:b/>
          <w:sz w:val="28"/>
          <w:szCs w:val="28"/>
        </w:rPr>
        <w:t>Herpes Zoster</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2E59D658" w14:textId="77777777" w:rsidTr="00877CF2">
        <w:trPr>
          <w:jc w:val="center"/>
        </w:trPr>
        <w:tc>
          <w:tcPr>
            <w:tcW w:w="1555" w:type="dxa"/>
          </w:tcPr>
          <w:p w14:paraId="72A1DA73" w14:textId="77777777" w:rsidR="001162FE" w:rsidRDefault="001162FE">
            <w:r>
              <w:t>Issue date:</w:t>
            </w:r>
          </w:p>
        </w:tc>
        <w:tc>
          <w:tcPr>
            <w:tcW w:w="1984" w:type="dxa"/>
          </w:tcPr>
          <w:p w14:paraId="46465182" w14:textId="77777777" w:rsidR="001162FE" w:rsidRDefault="001162FE"/>
        </w:tc>
        <w:tc>
          <w:tcPr>
            <w:tcW w:w="1843" w:type="dxa"/>
          </w:tcPr>
          <w:p w14:paraId="12B1B914" w14:textId="77777777" w:rsidR="001162FE" w:rsidRDefault="001162FE">
            <w:r>
              <w:t>Review date:</w:t>
            </w:r>
          </w:p>
        </w:tc>
        <w:tc>
          <w:tcPr>
            <w:tcW w:w="2268" w:type="dxa"/>
          </w:tcPr>
          <w:p w14:paraId="4715E75E" w14:textId="77777777" w:rsidR="001162FE" w:rsidRDefault="001162FE"/>
        </w:tc>
      </w:tr>
    </w:tbl>
    <w:p w14:paraId="4780B59A" w14:textId="77777777" w:rsidR="001162FE" w:rsidRDefault="001162FE"/>
    <w:p w14:paraId="2FC3A14C"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4F8F491A" w14:textId="77777777" w:rsidTr="001162FE">
        <w:tc>
          <w:tcPr>
            <w:tcW w:w="2689" w:type="dxa"/>
          </w:tcPr>
          <w:p w14:paraId="7F0FBDF7" w14:textId="77777777" w:rsidR="001162FE" w:rsidRPr="0064385C" w:rsidRDefault="00877CF2">
            <w:pPr>
              <w:rPr>
                <w:b/>
              </w:rPr>
            </w:pPr>
            <w:r w:rsidRPr="0064385C">
              <w:rPr>
                <w:b/>
              </w:rPr>
              <w:t>Standing Order Name</w:t>
            </w:r>
          </w:p>
        </w:tc>
        <w:tc>
          <w:tcPr>
            <w:tcW w:w="8073" w:type="dxa"/>
          </w:tcPr>
          <w:p w14:paraId="19F7B960" w14:textId="77777777" w:rsidR="001162FE" w:rsidRDefault="00A026CB">
            <w:r>
              <w:t>Herpes Zoster</w:t>
            </w:r>
          </w:p>
        </w:tc>
      </w:tr>
      <w:tr w:rsidR="001162FE" w14:paraId="47149E46" w14:textId="77777777" w:rsidTr="001162FE">
        <w:tc>
          <w:tcPr>
            <w:tcW w:w="2689" w:type="dxa"/>
          </w:tcPr>
          <w:p w14:paraId="46F4513F" w14:textId="77777777" w:rsidR="001162FE" w:rsidRPr="0064385C" w:rsidRDefault="00C25E16">
            <w:pPr>
              <w:rPr>
                <w:b/>
              </w:rPr>
            </w:pPr>
            <w:r>
              <w:rPr>
                <w:b/>
              </w:rPr>
              <w:t xml:space="preserve">I am wondering if we should do a </w:t>
            </w:r>
            <w:proofErr w:type="spellStart"/>
            <w:r>
              <w:rPr>
                <w:b/>
              </w:rPr>
              <w:t>herepes</w:t>
            </w:r>
            <w:proofErr w:type="spellEnd"/>
            <w:r>
              <w:rPr>
                <w:b/>
              </w:rPr>
              <w:t xml:space="preserve"> simplex </w:t>
            </w:r>
            <w:r w:rsidR="00877CF2" w:rsidRPr="0064385C">
              <w:rPr>
                <w:b/>
              </w:rPr>
              <w:t>Rationale</w:t>
            </w:r>
          </w:p>
        </w:tc>
        <w:tc>
          <w:tcPr>
            <w:tcW w:w="8073" w:type="dxa"/>
          </w:tcPr>
          <w:p w14:paraId="25DDBFD2" w14:textId="77777777" w:rsidR="001162FE" w:rsidRDefault="00921D93">
            <w:r>
              <w:t>To reduce the duration of a rash and associated pain in patients who have herpes zoster.</w:t>
            </w:r>
          </w:p>
        </w:tc>
      </w:tr>
      <w:tr w:rsidR="001162FE" w14:paraId="4F5DFF66" w14:textId="77777777" w:rsidTr="001162FE">
        <w:tc>
          <w:tcPr>
            <w:tcW w:w="2689" w:type="dxa"/>
          </w:tcPr>
          <w:p w14:paraId="7D08CC1A" w14:textId="77777777" w:rsidR="00877CF2" w:rsidRPr="0064385C" w:rsidRDefault="008C2A3F">
            <w:pPr>
              <w:rPr>
                <w:b/>
              </w:rPr>
            </w:pPr>
            <w:r w:rsidRPr="0064385C">
              <w:rPr>
                <w:b/>
              </w:rPr>
              <w:t>Scope (condition and patient group)</w:t>
            </w:r>
          </w:p>
        </w:tc>
        <w:tc>
          <w:tcPr>
            <w:tcW w:w="8073" w:type="dxa"/>
          </w:tcPr>
          <w:p w14:paraId="558AF821" w14:textId="77777777" w:rsidR="001162FE" w:rsidRDefault="005974BE">
            <w:r>
              <w:t xml:space="preserve">Adult patients presenting with signs and symptoms of herpes zoster infection who do not have any contraindications (see </w:t>
            </w:r>
            <w:r w:rsidR="00921D93">
              <w:t xml:space="preserve">under </w:t>
            </w:r>
            <w:r>
              <w:t>additional information below)</w:t>
            </w:r>
            <w:r w:rsidR="00921D93">
              <w:t>.</w:t>
            </w:r>
          </w:p>
        </w:tc>
      </w:tr>
      <w:tr w:rsidR="000E47A6" w14:paraId="7E5B3290" w14:textId="77777777" w:rsidTr="001162FE">
        <w:tc>
          <w:tcPr>
            <w:tcW w:w="2689" w:type="dxa"/>
          </w:tcPr>
          <w:p w14:paraId="641BDE18" w14:textId="77777777" w:rsidR="000E47A6" w:rsidRPr="0064385C" w:rsidRDefault="000E47A6">
            <w:pPr>
              <w:rPr>
                <w:b/>
              </w:rPr>
            </w:pPr>
            <w:r>
              <w:rPr>
                <w:b/>
              </w:rPr>
              <w:t>Red Flags</w:t>
            </w:r>
          </w:p>
        </w:tc>
        <w:tc>
          <w:tcPr>
            <w:tcW w:w="8073" w:type="dxa"/>
          </w:tcPr>
          <w:p w14:paraId="1C242A18" w14:textId="77777777" w:rsidR="00AF213C" w:rsidRDefault="00AF213C" w:rsidP="00AF213C">
            <w:r>
              <w:t>If eye is involved (ophthalmic branch of trigeminal nerve), get medical advice.</w:t>
            </w:r>
          </w:p>
          <w:p w14:paraId="326F995C" w14:textId="77777777" w:rsidR="000E47A6" w:rsidRDefault="00AF213C" w:rsidP="00AF213C">
            <w:r>
              <w:t>If patient is immunosuppressed or acute severe systemic infection, consider referral for infectious diseases assessment.</w:t>
            </w:r>
          </w:p>
        </w:tc>
      </w:tr>
      <w:tr w:rsidR="001162FE" w14:paraId="642ED483" w14:textId="77777777" w:rsidTr="001162FE">
        <w:tc>
          <w:tcPr>
            <w:tcW w:w="2689" w:type="dxa"/>
          </w:tcPr>
          <w:p w14:paraId="0BAFBDD8" w14:textId="77777777" w:rsidR="001162FE" w:rsidRPr="0064385C" w:rsidRDefault="008C2A3F">
            <w:pPr>
              <w:rPr>
                <w:b/>
              </w:rPr>
            </w:pPr>
            <w:r w:rsidRPr="0064385C">
              <w:rPr>
                <w:b/>
              </w:rPr>
              <w:t>Assessment</w:t>
            </w:r>
          </w:p>
        </w:tc>
        <w:tc>
          <w:tcPr>
            <w:tcW w:w="8073" w:type="dxa"/>
          </w:tcPr>
          <w:p w14:paraId="7012C0F0" w14:textId="77777777" w:rsidR="00AF213C" w:rsidRDefault="00AF213C" w:rsidP="00AF213C">
            <w:r>
              <w:t>1. The first symptom of shingles is usually pain. The diagnosis may be considered at this stage.</w:t>
            </w:r>
          </w:p>
          <w:p w14:paraId="1A809D3E" w14:textId="77777777" w:rsidR="00AF213C" w:rsidRDefault="00AF213C" w:rsidP="00AF213C">
            <w:pPr>
              <w:pStyle w:val="ListParagraph"/>
              <w:numPr>
                <w:ilvl w:val="0"/>
                <w:numId w:val="5"/>
              </w:numPr>
            </w:pPr>
            <w:r>
              <w:t>Herpes zoster pain</w:t>
            </w:r>
          </w:p>
          <w:p w14:paraId="531D1649" w14:textId="77777777" w:rsidR="00AF213C" w:rsidRDefault="00AF213C" w:rsidP="00AF213C">
            <w:pPr>
              <w:pStyle w:val="ListParagraph"/>
              <w:numPr>
                <w:ilvl w:val="1"/>
                <w:numId w:val="4"/>
              </w:numPr>
            </w:pPr>
            <w:r>
              <w:t>May be severe.</w:t>
            </w:r>
          </w:p>
          <w:p w14:paraId="1DECC24B" w14:textId="77777777" w:rsidR="00AF213C" w:rsidRDefault="00AF213C" w:rsidP="00AF213C">
            <w:pPr>
              <w:pStyle w:val="ListParagraph"/>
              <w:numPr>
                <w:ilvl w:val="1"/>
                <w:numId w:val="4"/>
              </w:numPr>
            </w:pPr>
            <w:r>
              <w:t>In the area of one or more sensory nerves, often close to the spine where the sensory nerves emerge.</w:t>
            </w:r>
          </w:p>
          <w:p w14:paraId="1EE66D92" w14:textId="77777777" w:rsidR="00AF213C" w:rsidRDefault="00AF213C" w:rsidP="00AF213C">
            <w:pPr>
              <w:pStyle w:val="ListParagraph"/>
              <w:numPr>
                <w:ilvl w:val="1"/>
                <w:numId w:val="4"/>
              </w:numPr>
            </w:pPr>
            <w:r>
              <w:t>Pain may be localized to one spot or over a larger area.</w:t>
            </w:r>
          </w:p>
          <w:p w14:paraId="090647F8" w14:textId="77777777" w:rsidR="00AF213C" w:rsidRDefault="00AF213C" w:rsidP="00AF213C">
            <w:pPr>
              <w:pStyle w:val="ListParagraph"/>
              <w:numPr>
                <w:ilvl w:val="1"/>
                <w:numId w:val="4"/>
              </w:numPr>
            </w:pPr>
            <w:r>
              <w:t>Patient usually feels unwell and may have fever and headache.</w:t>
            </w:r>
          </w:p>
          <w:p w14:paraId="5103A4F9" w14:textId="77777777" w:rsidR="00AF213C" w:rsidRDefault="00AF213C" w:rsidP="00AF213C">
            <w:pPr>
              <w:pStyle w:val="ListParagraph"/>
              <w:numPr>
                <w:ilvl w:val="1"/>
                <w:numId w:val="4"/>
              </w:numPr>
            </w:pPr>
            <w:r>
              <w:t>Lymph nodes draining the affected area may be enlarged and tender.</w:t>
            </w:r>
          </w:p>
          <w:p w14:paraId="13DCC0EC" w14:textId="77777777" w:rsidR="00AF213C" w:rsidRPr="00AF213C" w:rsidRDefault="00AF213C" w:rsidP="00AF213C">
            <w:pPr>
              <w:rPr>
                <w:sz w:val="12"/>
                <w:szCs w:val="12"/>
              </w:rPr>
            </w:pPr>
          </w:p>
          <w:p w14:paraId="16E1D6C2" w14:textId="77777777" w:rsidR="00AF213C" w:rsidRDefault="00AF213C" w:rsidP="00AF213C">
            <w:r>
              <w:t>2. A rash appears in the painful area of skin within one to three days of the onset of pain, but may be up to 10 days. This is often the time patients present.</w:t>
            </w:r>
          </w:p>
          <w:p w14:paraId="70F88CB7" w14:textId="77777777" w:rsidR="00AF213C" w:rsidRDefault="00AF213C" w:rsidP="00AF213C">
            <w:pPr>
              <w:pStyle w:val="ListParagraph"/>
              <w:numPr>
                <w:ilvl w:val="0"/>
                <w:numId w:val="2"/>
              </w:numPr>
            </w:pPr>
            <w:r>
              <w:t>Herpes zoster rash</w:t>
            </w:r>
          </w:p>
          <w:p w14:paraId="0A3B4A2F" w14:textId="77777777" w:rsidR="00AF213C" w:rsidRDefault="00AF213C" w:rsidP="00AF213C">
            <w:pPr>
              <w:pStyle w:val="ListParagraph"/>
              <w:numPr>
                <w:ilvl w:val="1"/>
                <w:numId w:val="2"/>
              </w:numPr>
            </w:pPr>
            <w:r>
              <w:t xml:space="preserve">Rash starts as a crop of closely-grouped red macules, which then become </w:t>
            </w:r>
            <w:proofErr w:type="spellStart"/>
            <w:r>
              <w:t>papular</w:t>
            </w:r>
            <w:proofErr w:type="spellEnd"/>
            <w:r>
              <w:t xml:space="preserve"> in a continuous band on the area of skin supplied by one or sometimes more neighbouring spinal nerves. </w:t>
            </w:r>
          </w:p>
          <w:p w14:paraId="1F99B0BD" w14:textId="77777777" w:rsidR="00AF213C" w:rsidRDefault="00AF213C" w:rsidP="00AF213C">
            <w:pPr>
              <w:pStyle w:val="ListParagraph"/>
              <w:numPr>
                <w:ilvl w:val="1"/>
                <w:numId w:val="2"/>
              </w:numPr>
            </w:pPr>
            <w:r>
              <w:t>New lesions continue to appear for several days, each blistering (vesicles) or becoming pustular then crusting over.</w:t>
            </w:r>
          </w:p>
          <w:p w14:paraId="661DF6F5" w14:textId="77777777" w:rsidR="00AF213C" w:rsidRDefault="00AF213C" w:rsidP="00AF213C">
            <w:pPr>
              <w:pStyle w:val="ListParagraph"/>
              <w:numPr>
                <w:ilvl w:val="1"/>
                <w:numId w:val="2"/>
              </w:numPr>
            </w:pPr>
            <w:r>
              <w:t>Shingles can affect any area with a sensory nerve supply and may cause blisters inside the mouth, ears, and the genital area.</w:t>
            </w:r>
          </w:p>
          <w:p w14:paraId="26980CF7" w14:textId="77777777" w:rsidR="00AF213C" w:rsidRPr="00AF213C" w:rsidRDefault="00AF213C" w:rsidP="00AF213C">
            <w:pPr>
              <w:rPr>
                <w:sz w:val="12"/>
                <w:szCs w:val="12"/>
              </w:rPr>
            </w:pPr>
          </w:p>
          <w:p w14:paraId="32363227" w14:textId="77777777" w:rsidR="001162FE" w:rsidRDefault="00AF213C" w:rsidP="00AF213C">
            <w:r>
              <w:t>3. Laboratory testing to investigate suspected shingles is not routinely required. If renal impairment is suspected, contact a medical practitioner for advice.</w:t>
            </w:r>
          </w:p>
        </w:tc>
      </w:tr>
      <w:tr w:rsidR="001162FE" w14:paraId="0ACFC371" w14:textId="77777777" w:rsidTr="001162FE">
        <w:tc>
          <w:tcPr>
            <w:tcW w:w="2689" w:type="dxa"/>
          </w:tcPr>
          <w:p w14:paraId="739B9754" w14:textId="77777777" w:rsidR="001162FE" w:rsidRPr="0064385C" w:rsidRDefault="0064385C">
            <w:pPr>
              <w:rPr>
                <w:b/>
              </w:rPr>
            </w:pPr>
            <w:r>
              <w:rPr>
                <w:b/>
              </w:rPr>
              <w:t>Indication</w:t>
            </w:r>
          </w:p>
        </w:tc>
        <w:tc>
          <w:tcPr>
            <w:tcW w:w="8073" w:type="dxa"/>
          </w:tcPr>
          <w:p w14:paraId="33096761" w14:textId="77777777" w:rsidR="001162FE" w:rsidRPr="00921D93" w:rsidRDefault="005974BE">
            <w:pPr>
              <w:rPr>
                <w:b/>
              </w:rPr>
            </w:pPr>
            <w:r w:rsidRPr="00921D93">
              <w:rPr>
                <w:b/>
              </w:rPr>
              <w:t>Treatment of herpes zoster infection</w:t>
            </w:r>
          </w:p>
        </w:tc>
      </w:tr>
      <w:tr w:rsidR="001162FE" w14:paraId="5B636532" w14:textId="77777777" w:rsidTr="001162FE">
        <w:tc>
          <w:tcPr>
            <w:tcW w:w="2689" w:type="dxa"/>
          </w:tcPr>
          <w:p w14:paraId="5F89794D" w14:textId="77777777" w:rsidR="001162FE" w:rsidRPr="0064385C" w:rsidRDefault="00877CF2">
            <w:pPr>
              <w:rPr>
                <w:b/>
              </w:rPr>
            </w:pPr>
            <w:r w:rsidRPr="0064385C">
              <w:rPr>
                <w:b/>
              </w:rPr>
              <w:t>Medicine</w:t>
            </w:r>
          </w:p>
        </w:tc>
        <w:tc>
          <w:tcPr>
            <w:tcW w:w="8073" w:type="dxa"/>
          </w:tcPr>
          <w:p w14:paraId="37FF621B" w14:textId="77777777" w:rsidR="001162FE" w:rsidRDefault="00884256">
            <w:r w:rsidRPr="004826CF">
              <w:rPr>
                <w:b/>
              </w:rPr>
              <w:t>Aciclovir</w:t>
            </w:r>
            <w:r>
              <w:t xml:space="preserve"> 800mg tablets</w:t>
            </w:r>
          </w:p>
        </w:tc>
      </w:tr>
      <w:tr w:rsidR="001162FE" w14:paraId="78E2560A" w14:textId="77777777" w:rsidTr="001162FE">
        <w:tc>
          <w:tcPr>
            <w:tcW w:w="2689" w:type="dxa"/>
          </w:tcPr>
          <w:p w14:paraId="0F2E22A2" w14:textId="77777777" w:rsidR="00877CF2" w:rsidRPr="0064385C" w:rsidRDefault="00877CF2">
            <w:pPr>
              <w:rPr>
                <w:b/>
              </w:rPr>
            </w:pPr>
            <w:r w:rsidRPr="0064385C">
              <w:rPr>
                <w:b/>
              </w:rPr>
              <w:t>Dosage instructions</w:t>
            </w:r>
          </w:p>
        </w:tc>
        <w:tc>
          <w:tcPr>
            <w:tcW w:w="8073" w:type="dxa"/>
          </w:tcPr>
          <w:p w14:paraId="77F350CD" w14:textId="77777777" w:rsidR="00B7520B" w:rsidRDefault="00AC0223">
            <w:r>
              <w:t xml:space="preserve">Adult: </w:t>
            </w:r>
            <w:r w:rsidR="00884256" w:rsidRPr="00884256">
              <w:t xml:space="preserve">800 mg five times daily for seven days (every four hours with an eight-hour gap overnight). </w:t>
            </w:r>
          </w:p>
          <w:p w14:paraId="4C6FD244" w14:textId="77777777" w:rsidR="001162FE" w:rsidRDefault="00884256">
            <w:r w:rsidRPr="00884256">
              <w:t>Advise patient to set an alarm for each dose.</w:t>
            </w:r>
          </w:p>
        </w:tc>
      </w:tr>
      <w:tr w:rsidR="001162FE" w14:paraId="79327E1C" w14:textId="77777777" w:rsidTr="001162FE">
        <w:tc>
          <w:tcPr>
            <w:tcW w:w="2689" w:type="dxa"/>
          </w:tcPr>
          <w:p w14:paraId="1E0BA795" w14:textId="77777777" w:rsidR="001162FE" w:rsidRPr="0064385C" w:rsidRDefault="00877CF2">
            <w:pPr>
              <w:rPr>
                <w:b/>
              </w:rPr>
            </w:pPr>
            <w:r w:rsidRPr="0064385C">
              <w:rPr>
                <w:b/>
              </w:rPr>
              <w:t>Route of administration</w:t>
            </w:r>
          </w:p>
        </w:tc>
        <w:tc>
          <w:tcPr>
            <w:tcW w:w="8073" w:type="dxa"/>
          </w:tcPr>
          <w:p w14:paraId="4028D2F9" w14:textId="77777777" w:rsidR="001162FE" w:rsidRDefault="00B7520B">
            <w:r>
              <w:t>Oral</w:t>
            </w:r>
          </w:p>
        </w:tc>
      </w:tr>
      <w:tr w:rsidR="001162FE" w14:paraId="39B8CB85" w14:textId="77777777" w:rsidTr="001162FE">
        <w:tc>
          <w:tcPr>
            <w:tcW w:w="2689" w:type="dxa"/>
          </w:tcPr>
          <w:p w14:paraId="211CE857" w14:textId="77777777" w:rsidR="001162FE" w:rsidRPr="0064385C" w:rsidRDefault="0064385C" w:rsidP="0064385C">
            <w:pPr>
              <w:rPr>
                <w:b/>
              </w:rPr>
            </w:pPr>
            <w:r>
              <w:rPr>
                <w:b/>
              </w:rPr>
              <w:t>Quantity to be given</w:t>
            </w:r>
          </w:p>
        </w:tc>
        <w:tc>
          <w:tcPr>
            <w:tcW w:w="8073" w:type="dxa"/>
          </w:tcPr>
          <w:p w14:paraId="6D0A284C" w14:textId="77777777" w:rsidR="001162FE" w:rsidRDefault="00B7520B">
            <w:r>
              <w:t>35 x 800mg tablets</w:t>
            </w:r>
          </w:p>
        </w:tc>
      </w:tr>
      <w:tr w:rsidR="001162FE" w14:paraId="7DF94F45" w14:textId="77777777" w:rsidTr="001162FE">
        <w:tc>
          <w:tcPr>
            <w:tcW w:w="2689" w:type="dxa"/>
          </w:tcPr>
          <w:p w14:paraId="016473FA" w14:textId="77777777" w:rsidR="001162FE" w:rsidRPr="0064385C" w:rsidRDefault="00877CF2">
            <w:pPr>
              <w:rPr>
                <w:b/>
              </w:rPr>
            </w:pPr>
            <w:r w:rsidRPr="0064385C">
              <w:rPr>
                <w:b/>
              </w:rPr>
              <w:t>Contraindications</w:t>
            </w:r>
          </w:p>
        </w:tc>
        <w:tc>
          <w:tcPr>
            <w:tcW w:w="8073" w:type="dxa"/>
          </w:tcPr>
          <w:p w14:paraId="05C1FC50" w14:textId="77777777" w:rsidR="001162FE" w:rsidRDefault="00B7520B">
            <w:r>
              <w:t>Hypersensitivity to acyclovir or any excipients.</w:t>
            </w:r>
          </w:p>
        </w:tc>
      </w:tr>
      <w:tr w:rsidR="001162FE" w14:paraId="3B469E1E" w14:textId="77777777" w:rsidTr="004826CF">
        <w:tc>
          <w:tcPr>
            <w:tcW w:w="2689" w:type="dxa"/>
            <w:tcBorders>
              <w:bottom w:val="single" w:sz="4" w:space="0" w:color="auto"/>
            </w:tcBorders>
          </w:tcPr>
          <w:p w14:paraId="6062F6F8" w14:textId="77777777" w:rsidR="001162FE" w:rsidRPr="0064385C" w:rsidRDefault="00877CF2">
            <w:pPr>
              <w:rPr>
                <w:b/>
              </w:rPr>
            </w:pPr>
            <w:r w:rsidRPr="0064385C">
              <w:rPr>
                <w:b/>
              </w:rPr>
              <w:t>Precautions</w:t>
            </w:r>
          </w:p>
        </w:tc>
        <w:tc>
          <w:tcPr>
            <w:tcW w:w="8073" w:type="dxa"/>
            <w:tcBorders>
              <w:bottom w:val="single" w:sz="4" w:space="0" w:color="auto"/>
            </w:tcBorders>
          </w:tcPr>
          <w:p w14:paraId="4FA96E12" w14:textId="77777777" w:rsidR="001162FE" w:rsidRDefault="00B7520B" w:rsidP="00B7520B">
            <w:pPr>
              <w:pStyle w:val="ListParagraph"/>
              <w:numPr>
                <w:ilvl w:val="0"/>
                <w:numId w:val="2"/>
              </w:numPr>
            </w:pPr>
            <w:r>
              <w:t>Maintain adequate hydration</w:t>
            </w:r>
          </w:p>
          <w:p w14:paraId="31F08A8C" w14:textId="77777777" w:rsidR="00B7520B" w:rsidRDefault="00B7520B" w:rsidP="00B7520B">
            <w:pPr>
              <w:pStyle w:val="ListParagraph"/>
              <w:numPr>
                <w:ilvl w:val="0"/>
                <w:numId w:val="2"/>
              </w:numPr>
            </w:pPr>
            <w:r>
              <w:t>Renal impairment</w:t>
            </w:r>
            <w:r w:rsidR="00AC0223">
              <w:t xml:space="preserve"> (seek medical or nurse practitioner advice)</w:t>
            </w:r>
          </w:p>
          <w:p w14:paraId="157489A5" w14:textId="77777777" w:rsidR="00B7520B" w:rsidRDefault="00B7520B" w:rsidP="00B7520B">
            <w:pPr>
              <w:pStyle w:val="ListParagraph"/>
              <w:numPr>
                <w:ilvl w:val="0"/>
                <w:numId w:val="2"/>
              </w:numPr>
            </w:pPr>
            <w:r>
              <w:t>Elderly- risk of neurological reactions</w:t>
            </w:r>
          </w:p>
          <w:p w14:paraId="2CE9AA2A" w14:textId="77777777" w:rsidR="005E7B28" w:rsidRDefault="005E7B28" w:rsidP="005E7B28"/>
          <w:p w14:paraId="73FFE6D0" w14:textId="77777777" w:rsidR="005E7B28" w:rsidRDefault="005E7B28" w:rsidP="005E7B28">
            <w:bookmarkStart w:id="0" w:name="_GoBack"/>
            <w:bookmarkEnd w:id="0"/>
          </w:p>
        </w:tc>
      </w:tr>
      <w:tr w:rsidR="00884256" w:rsidRPr="004826CF" w14:paraId="27C93564" w14:textId="77777777" w:rsidTr="004826CF">
        <w:tc>
          <w:tcPr>
            <w:tcW w:w="2689" w:type="dxa"/>
            <w:tcBorders>
              <w:right w:val="nil"/>
            </w:tcBorders>
          </w:tcPr>
          <w:p w14:paraId="1F2CB5C0" w14:textId="77777777" w:rsidR="00884256" w:rsidRPr="004826CF" w:rsidRDefault="00884256">
            <w:pPr>
              <w:rPr>
                <w:b/>
                <w:sz w:val="12"/>
                <w:szCs w:val="12"/>
              </w:rPr>
            </w:pPr>
          </w:p>
        </w:tc>
        <w:tc>
          <w:tcPr>
            <w:tcW w:w="8073" w:type="dxa"/>
            <w:tcBorders>
              <w:left w:val="nil"/>
            </w:tcBorders>
          </w:tcPr>
          <w:p w14:paraId="114539DB" w14:textId="77777777" w:rsidR="00884256" w:rsidRPr="004826CF" w:rsidRDefault="00884256">
            <w:pPr>
              <w:rPr>
                <w:sz w:val="12"/>
                <w:szCs w:val="12"/>
              </w:rPr>
            </w:pPr>
          </w:p>
        </w:tc>
      </w:tr>
      <w:tr w:rsidR="00884256" w14:paraId="4761F947" w14:textId="77777777" w:rsidTr="00884256">
        <w:tc>
          <w:tcPr>
            <w:tcW w:w="2689" w:type="dxa"/>
          </w:tcPr>
          <w:p w14:paraId="6D1204F5" w14:textId="77777777" w:rsidR="00884256" w:rsidRPr="0064385C" w:rsidRDefault="00884256" w:rsidP="00884256">
            <w:pPr>
              <w:rPr>
                <w:b/>
              </w:rPr>
            </w:pPr>
            <w:r>
              <w:rPr>
                <w:b/>
              </w:rPr>
              <w:lastRenderedPageBreak/>
              <w:t>Indication</w:t>
            </w:r>
          </w:p>
        </w:tc>
        <w:tc>
          <w:tcPr>
            <w:tcW w:w="8073" w:type="dxa"/>
          </w:tcPr>
          <w:p w14:paraId="67551DB8" w14:textId="77777777" w:rsidR="00884256" w:rsidRPr="00B7520B" w:rsidRDefault="00B7520B" w:rsidP="00884256">
            <w:pPr>
              <w:rPr>
                <w:b/>
              </w:rPr>
            </w:pPr>
            <w:r w:rsidRPr="00B7520B">
              <w:rPr>
                <w:b/>
              </w:rPr>
              <w:t>To relieve symptoms of itchy lesions</w:t>
            </w:r>
          </w:p>
        </w:tc>
      </w:tr>
      <w:tr w:rsidR="00884256" w14:paraId="1493C9C1" w14:textId="77777777" w:rsidTr="00884256">
        <w:tc>
          <w:tcPr>
            <w:tcW w:w="2689" w:type="dxa"/>
          </w:tcPr>
          <w:p w14:paraId="14A5060B" w14:textId="77777777" w:rsidR="00884256" w:rsidRPr="0064385C" w:rsidRDefault="00884256" w:rsidP="00884256">
            <w:pPr>
              <w:rPr>
                <w:b/>
              </w:rPr>
            </w:pPr>
            <w:r w:rsidRPr="0064385C">
              <w:rPr>
                <w:b/>
              </w:rPr>
              <w:t>Medicine</w:t>
            </w:r>
          </w:p>
        </w:tc>
        <w:tc>
          <w:tcPr>
            <w:tcW w:w="8073" w:type="dxa"/>
          </w:tcPr>
          <w:p w14:paraId="19E58108" w14:textId="77777777" w:rsidR="00884256" w:rsidRDefault="00B7520B" w:rsidP="00884256">
            <w:r w:rsidRPr="004826CF">
              <w:rPr>
                <w:b/>
              </w:rPr>
              <w:t>Calamine</w:t>
            </w:r>
            <w:r>
              <w:t xml:space="preserve"> lotion</w:t>
            </w:r>
          </w:p>
        </w:tc>
      </w:tr>
      <w:tr w:rsidR="00884256" w14:paraId="67D13DBF" w14:textId="77777777" w:rsidTr="00884256">
        <w:tc>
          <w:tcPr>
            <w:tcW w:w="2689" w:type="dxa"/>
          </w:tcPr>
          <w:p w14:paraId="04AFAD49" w14:textId="77777777" w:rsidR="00884256" w:rsidRPr="0064385C" w:rsidRDefault="00884256" w:rsidP="00884256">
            <w:pPr>
              <w:rPr>
                <w:b/>
              </w:rPr>
            </w:pPr>
            <w:r w:rsidRPr="0064385C">
              <w:rPr>
                <w:b/>
              </w:rPr>
              <w:t>Dosage instructions</w:t>
            </w:r>
          </w:p>
        </w:tc>
        <w:tc>
          <w:tcPr>
            <w:tcW w:w="8073" w:type="dxa"/>
          </w:tcPr>
          <w:p w14:paraId="62977786" w14:textId="77777777" w:rsidR="00884256" w:rsidRDefault="005974BE" w:rsidP="00884256">
            <w:r>
              <w:t>Dab onto skin with cotton wool and allow to dry. Repeat when needed.</w:t>
            </w:r>
            <w:r w:rsidR="00B7520B">
              <w:t xml:space="preserve"> </w:t>
            </w:r>
          </w:p>
        </w:tc>
      </w:tr>
      <w:tr w:rsidR="00884256" w14:paraId="34CE89F2" w14:textId="77777777" w:rsidTr="00884256">
        <w:tc>
          <w:tcPr>
            <w:tcW w:w="2689" w:type="dxa"/>
          </w:tcPr>
          <w:p w14:paraId="613AC212" w14:textId="77777777" w:rsidR="00884256" w:rsidRPr="0064385C" w:rsidRDefault="00884256" w:rsidP="00884256">
            <w:pPr>
              <w:rPr>
                <w:b/>
              </w:rPr>
            </w:pPr>
            <w:r w:rsidRPr="0064385C">
              <w:rPr>
                <w:b/>
              </w:rPr>
              <w:t>Route of administration</w:t>
            </w:r>
          </w:p>
        </w:tc>
        <w:tc>
          <w:tcPr>
            <w:tcW w:w="8073" w:type="dxa"/>
          </w:tcPr>
          <w:p w14:paraId="263405C8" w14:textId="77777777" w:rsidR="00884256" w:rsidRDefault="00B7520B" w:rsidP="00884256">
            <w:r>
              <w:t>Topical</w:t>
            </w:r>
          </w:p>
        </w:tc>
      </w:tr>
      <w:tr w:rsidR="00884256" w14:paraId="1EF7CFF1" w14:textId="77777777" w:rsidTr="00884256">
        <w:tc>
          <w:tcPr>
            <w:tcW w:w="2689" w:type="dxa"/>
          </w:tcPr>
          <w:p w14:paraId="728EDCE8" w14:textId="77777777" w:rsidR="00884256" w:rsidRPr="0064385C" w:rsidRDefault="00884256" w:rsidP="00884256">
            <w:pPr>
              <w:rPr>
                <w:b/>
              </w:rPr>
            </w:pPr>
            <w:r>
              <w:rPr>
                <w:b/>
              </w:rPr>
              <w:t>Quantity to be given</w:t>
            </w:r>
          </w:p>
        </w:tc>
        <w:tc>
          <w:tcPr>
            <w:tcW w:w="8073" w:type="dxa"/>
          </w:tcPr>
          <w:p w14:paraId="6DBDA1DF" w14:textId="77777777" w:rsidR="00884256" w:rsidRDefault="00B7520B" w:rsidP="00884256">
            <w:r>
              <w:t>1 x 200mL</w:t>
            </w:r>
          </w:p>
        </w:tc>
      </w:tr>
      <w:tr w:rsidR="00884256" w14:paraId="5975A4DE" w14:textId="77777777" w:rsidTr="00884256">
        <w:tc>
          <w:tcPr>
            <w:tcW w:w="2689" w:type="dxa"/>
          </w:tcPr>
          <w:p w14:paraId="23F101A1" w14:textId="77777777" w:rsidR="00884256" w:rsidRPr="0064385C" w:rsidRDefault="00884256" w:rsidP="00884256">
            <w:pPr>
              <w:rPr>
                <w:b/>
              </w:rPr>
            </w:pPr>
            <w:r w:rsidRPr="0064385C">
              <w:rPr>
                <w:b/>
              </w:rPr>
              <w:t>Contraindications</w:t>
            </w:r>
          </w:p>
        </w:tc>
        <w:tc>
          <w:tcPr>
            <w:tcW w:w="8073" w:type="dxa"/>
          </w:tcPr>
          <w:p w14:paraId="6FD8565A" w14:textId="77777777" w:rsidR="00884256" w:rsidRDefault="005974BE" w:rsidP="00884256">
            <w:r>
              <w:t>None</w:t>
            </w:r>
          </w:p>
        </w:tc>
      </w:tr>
      <w:tr w:rsidR="00884256" w14:paraId="07B1E060" w14:textId="77777777" w:rsidTr="004826CF">
        <w:tc>
          <w:tcPr>
            <w:tcW w:w="2689" w:type="dxa"/>
            <w:tcBorders>
              <w:bottom w:val="single" w:sz="4" w:space="0" w:color="auto"/>
            </w:tcBorders>
          </w:tcPr>
          <w:p w14:paraId="1142C154" w14:textId="77777777" w:rsidR="00884256" w:rsidRPr="0064385C" w:rsidRDefault="00884256" w:rsidP="00884256">
            <w:pPr>
              <w:rPr>
                <w:b/>
              </w:rPr>
            </w:pPr>
            <w:r w:rsidRPr="0064385C">
              <w:rPr>
                <w:b/>
              </w:rPr>
              <w:t>Precautions</w:t>
            </w:r>
          </w:p>
        </w:tc>
        <w:tc>
          <w:tcPr>
            <w:tcW w:w="8073" w:type="dxa"/>
            <w:tcBorders>
              <w:bottom w:val="single" w:sz="4" w:space="0" w:color="auto"/>
            </w:tcBorders>
          </w:tcPr>
          <w:p w14:paraId="48FF5D7A" w14:textId="77777777" w:rsidR="00884256" w:rsidRDefault="00B7520B" w:rsidP="005974BE">
            <w:pPr>
              <w:pStyle w:val="ListParagraph"/>
              <w:numPr>
                <w:ilvl w:val="0"/>
                <w:numId w:val="7"/>
              </w:numPr>
            </w:pPr>
            <w:r>
              <w:t xml:space="preserve">Limited evidence to support use,  </w:t>
            </w:r>
            <w:r w:rsidRPr="00B7520B">
              <w:t>but can help to reduce itch and dry lesions</w:t>
            </w:r>
          </w:p>
        </w:tc>
      </w:tr>
      <w:tr w:rsidR="00884256" w:rsidRPr="004826CF" w14:paraId="603CBE33" w14:textId="77777777" w:rsidTr="004826CF">
        <w:tc>
          <w:tcPr>
            <w:tcW w:w="2689" w:type="dxa"/>
            <w:tcBorders>
              <w:right w:val="nil"/>
            </w:tcBorders>
          </w:tcPr>
          <w:p w14:paraId="4DF96830" w14:textId="77777777" w:rsidR="00884256" w:rsidRPr="004826CF" w:rsidRDefault="00884256" w:rsidP="00884256">
            <w:pPr>
              <w:rPr>
                <w:b/>
                <w:sz w:val="12"/>
                <w:szCs w:val="12"/>
              </w:rPr>
            </w:pPr>
          </w:p>
        </w:tc>
        <w:tc>
          <w:tcPr>
            <w:tcW w:w="8073" w:type="dxa"/>
            <w:tcBorders>
              <w:left w:val="nil"/>
            </w:tcBorders>
          </w:tcPr>
          <w:p w14:paraId="741EE4CF" w14:textId="77777777" w:rsidR="00884256" w:rsidRPr="004826CF" w:rsidRDefault="00884256" w:rsidP="00884256">
            <w:pPr>
              <w:rPr>
                <w:sz w:val="12"/>
                <w:szCs w:val="12"/>
              </w:rPr>
            </w:pPr>
          </w:p>
        </w:tc>
      </w:tr>
      <w:tr w:rsidR="008C2A3F" w14:paraId="108D3973" w14:textId="77777777" w:rsidTr="001162FE">
        <w:tc>
          <w:tcPr>
            <w:tcW w:w="2689" w:type="dxa"/>
          </w:tcPr>
          <w:p w14:paraId="1559A50A" w14:textId="77777777" w:rsidR="008C2A3F" w:rsidRPr="0064385C" w:rsidRDefault="008C2A3F" w:rsidP="008C2A3F">
            <w:pPr>
              <w:rPr>
                <w:b/>
              </w:rPr>
            </w:pPr>
            <w:r w:rsidRPr="0064385C">
              <w:rPr>
                <w:b/>
              </w:rPr>
              <w:t>Additional information</w:t>
            </w:r>
          </w:p>
        </w:tc>
        <w:tc>
          <w:tcPr>
            <w:tcW w:w="8073" w:type="dxa"/>
          </w:tcPr>
          <w:p w14:paraId="2B1D2370" w14:textId="77777777" w:rsidR="00737CAA" w:rsidRDefault="00737CAA" w:rsidP="00737CAA">
            <w:r>
              <w:t>Medical consultation is required if:</w:t>
            </w:r>
          </w:p>
          <w:p w14:paraId="17E53903" w14:textId="77777777" w:rsidR="00737CAA" w:rsidRDefault="00AC0223" w:rsidP="00737CAA">
            <w:pPr>
              <w:pStyle w:val="ListParagraph"/>
              <w:numPr>
                <w:ilvl w:val="0"/>
                <w:numId w:val="2"/>
              </w:numPr>
            </w:pPr>
            <w:r>
              <w:t>P</w:t>
            </w:r>
            <w:r w:rsidR="00737CAA">
              <w:t>atient has known or suspected renal impairment.</w:t>
            </w:r>
          </w:p>
          <w:p w14:paraId="4FC8D9D7" w14:textId="77777777" w:rsidR="00737CAA" w:rsidRDefault="00AC0223" w:rsidP="00737CAA">
            <w:pPr>
              <w:pStyle w:val="ListParagraph"/>
              <w:numPr>
                <w:ilvl w:val="0"/>
                <w:numId w:val="2"/>
              </w:numPr>
            </w:pPr>
            <w:r>
              <w:t>P</w:t>
            </w:r>
            <w:r w:rsidR="00737CAA">
              <w:t xml:space="preserve">atient is immunosuppressed e.g., taking prednisone or </w:t>
            </w:r>
            <w:proofErr w:type="spellStart"/>
            <w:r>
              <w:t>immunosuppressa</w:t>
            </w:r>
            <w:r w:rsidR="00737CAA">
              <w:t>nts</w:t>
            </w:r>
            <w:proofErr w:type="spellEnd"/>
            <w:r w:rsidR="00737CAA">
              <w:t>.</w:t>
            </w:r>
          </w:p>
          <w:p w14:paraId="6759FE52" w14:textId="77777777" w:rsidR="0073280B" w:rsidRPr="00F52AB0" w:rsidRDefault="0073280B" w:rsidP="00737CAA">
            <w:pPr>
              <w:pStyle w:val="ListParagraph"/>
              <w:numPr>
                <w:ilvl w:val="0"/>
                <w:numId w:val="2"/>
              </w:numPr>
            </w:pPr>
            <w:r w:rsidRPr="00F52AB0">
              <w:t>Patient is pregnant</w:t>
            </w:r>
          </w:p>
          <w:p w14:paraId="027E7B3E" w14:textId="77777777" w:rsidR="00737CAA" w:rsidRDefault="00737CAA" w:rsidP="00737CAA">
            <w:pPr>
              <w:pStyle w:val="ListParagraph"/>
              <w:numPr>
                <w:ilvl w:val="0"/>
                <w:numId w:val="2"/>
              </w:numPr>
            </w:pPr>
            <w:r w:rsidRPr="00F52AB0">
              <w:t xml:space="preserve">Ophthalmic </w:t>
            </w:r>
            <w:r w:rsidR="00AC0223" w:rsidRPr="00F52AB0">
              <w:t>or auricular</w:t>
            </w:r>
            <w:r w:rsidR="00AC0223">
              <w:t xml:space="preserve"> </w:t>
            </w:r>
            <w:r>
              <w:t>involvement</w:t>
            </w:r>
          </w:p>
          <w:p w14:paraId="494A98C5" w14:textId="77777777" w:rsidR="00737CAA" w:rsidRDefault="00AC0223" w:rsidP="00737CAA">
            <w:pPr>
              <w:pStyle w:val="ListParagraph"/>
              <w:numPr>
                <w:ilvl w:val="0"/>
                <w:numId w:val="2"/>
              </w:numPr>
            </w:pPr>
            <w:r>
              <w:t>P</w:t>
            </w:r>
            <w:r w:rsidR="00737CAA">
              <w:t>atient is aged &lt; 18 years as the diagnosis is unusual and dose adjustment is required.</w:t>
            </w:r>
          </w:p>
          <w:p w14:paraId="4DD38D97" w14:textId="77777777" w:rsidR="00737CAA" w:rsidRPr="00737CAA" w:rsidRDefault="00737CAA" w:rsidP="00737CAA">
            <w:pPr>
              <w:pStyle w:val="ListParagraph"/>
              <w:ind w:left="1080"/>
              <w:rPr>
                <w:sz w:val="12"/>
                <w:szCs w:val="12"/>
              </w:rPr>
            </w:pPr>
          </w:p>
          <w:p w14:paraId="47EBCA66" w14:textId="77777777" w:rsidR="00AF213C" w:rsidRDefault="00AF213C" w:rsidP="00AF213C">
            <w:r>
              <w:t>The pain and systemic symptoms subside gradually as the rash disappears.</w:t>
            </w:r>
          </w:p>
          <w:p w14:paraId="3BC07E27" w14:textId="77777777" w:rsidR="00AF213C" w:rsidRDefault="00AF213C" w:rsidP="00AF213C">
            <w:r>
              <w:t>•</w:t>
            </w:r>
            <w:r>
              <w:tab/>
              <w:t>In uncomplicated cases, young adults recover in 2 to 3 weeks.</w:t>
            </w:r>
          </w:p>
          <w:p w14:paraId="62B46280" w14:textId="77777777" w:rsidR="00884256" w:rsidRDefault="00AF213C" w:rsidP="00AF213C">
            <w:r>
              <w:t>•</w:t>
            </w:r>
            <w:r>
              <w:tab/>
              <w:t>Older patients' recovery may take 3 to 4 weeks.</w:t>
            </w:r>
          </w:p>
          <w:p w14:paraId="3D33BB84" w14:textId="77777777" w:rsidR="00884256" w:rsidRPr="00884256" w:rsidRDefault="00884256" w:rsidP="00AF213C">
            <w:pPr>
              <w:rPr>
                <w:sz w:val="12"/>
                <w:szCs w:val="12"/>
              </w:rPr>
            </w:pPr>
          </w:p>
          <w:p w14:paraId="04AD89D4" w14:textId="41522B55" w:rsidR="00884256" w:rsidRDefault="00884256" w:rsidP="00AF213C">
            <w:r>
              <w:t>Advise patient to rest and take analgesia if required.</w:t>
            </w:r>
            <w:r w:rsidR="00CA7E6D">
              <w:t xml:space="preserve"> See Pain Standing Order.</w:t>
            </w:r>
          </w:p>
        </w:tc>
      </w:tr>
      <w:tr w:rsidR="008C2A3F" w14:paraId="65BAF41C" w14:textId="77777777" w:rsidTr="001162FE">
        <w:tc>
          <w:tcPr>
            <w:tcW w:w="2689" w:type="dxa"/>
          </w:tcPr>
          <w:p w14:paraId="14E1A36F" w14:textId="77777777" w:rsidR="008C2A3F" w:rsidRPr="0064385C" w:rsidRDefault="008C2A3F" w:rsidP="008C2A3F">
            <w:pPr>
              <w:rPr>
                <w:b/>
              </w:rPr>
            </w:pPr>
            <w:r w:rsidRPr="0064385C">
              <w:rPr>
                <w:b/>
              </w:rPr>
              <w:t>Follow-up</w:t>
            </w:r>
          </w:p>
        </w:tc>
        <w:tc>
          <w:tcPr>
            <w:tcW w:w="8073" w:type="dxa"/>
          </w:tcPr>
          <w:p w14:paraId="2F4784B6" w14:textId="77777777" w:rsidR="008C2A3F" w:rsidRDefault="00737CAA" w:rsidP="008C2A3F">
            <w:r w:rsidRPr="00737CAA">
              <w:t>Observe for complications.</w:t>
            </w:r>
          </w:p>
        </w:tc>
      </w:tr>
      <w:tr w:rsidR="0070113B" w14:paraId="01F92789" w14:textId="77777777" w:rsidTr="001162FE">
        <w:tc>
          <w:tcPr>
            <w:tcW w:w="2689" w:type="dxa"/>
          </w:tcPr>
          <w:p w14:paraId="5033C6A3" w14:textId="77777777" w:rsidR="0070113B" w:rsidRPr="0064385C" w:rsidRDefault="0070113B" w:rsidP="0070113B">
            <w:pPr>
              <w:rPr>
                <w:b/>
              </w:rPr>
            </w:pPr>
            <w:r w:rsidRPr="0064385C">
              <w:rPr>
                <w:b/>
              </w:rPr>
              <w:t>Countersigning and auditing</w:t>
            </w:r>
          </w:p>
        </w:tc>
        <w:tc>
          <w:tcPr>
            <w:tcW w:w="8073" w:type="dxa"/>
          </w:tcPr>
          <w:p w14:paraId="6D584DB4" w14:textId="77777777" w:rsidR="0070113B" w:rsidRDefault="0070113B" w:rsidP="0070113B">
            <w:r>
              <w:t>Countersigning is not required. Audited monthly.</w:t>
            </w:r>
          </w:p>
          <w:p w14:paraId="6FA9E135" w14:textId="77777777" w:rsidR="0070113B" w:rsidRPr="0070113B" w:rsidRDefault="0070113B" w:rsidP="0070113B">
            <w:pPr>
              <w:rPr>
                <w:b/>
              </w:rPr>
            </w:pPr>
            <w:r w:rsidRPr="0070113B">
              <w:rPr>
                <w:b/>
              </w:rPr>
              <w:t xml:space="preserve">OR </w:t>
            </w:r>
          </w:p>
          <w:p w14:paraId="6331A0F8" w14:textId="77777777" w:rsidR="0070113B" w:rsidRDefault="0070113B" w:rsidP="0070113B">
            <w:r>
              <w:t xml:space="preserve">Countersigning is required within </w:t>
            </w:r>
            <w:r w:rsidRPr="00070579">
              <w:rPr>
                <w:b/>
                <w:i/>
              </w:rPr>
              <w:t>XX</w:t>
            </w:r>
            <w:r>
              <w:t xml:space="preserve"> days</w:t>
            </w:r>
          </w:p>
        </w:tc>
      </w:tr>
      <w:tr w:rsidR="0070113B" w14:paraId="7469C800" w14:textId="77777777" w:rsidTr="001162FE">
        <w:tc>
          <w:tcPr>
            <w:tcW w:w="2689" w:type="dxa"/>
          </w:tcPr>
          <w:p w14:paraId="4E6E534A" w14:textId="77777777" w:rsidR="0070113B" w:rsidRPr="0064385C" w:rsidRDefault="0070113B" w:rsidP="0070113B">
            <w:pPr>
              <w:rPr>
                <w:b/>
              </w:rPr>
            </w:pPr>
            <w:r w:rsidRPr="0064385C">
              <w:rPr>
                <w:b/>
              </w:rPr>
              <w:t>Competency/training requirements</w:t>
            </w:r>
          </w:p>
        </w:tc>
        <w:tc>
          <w:tcPr>
            <w:tcW w:w="8073" w:type="dxa"/>
          </w:tcPr>
          <w:p w14:paraId="797E1147" w14:textId="77777777" w:rsidR="0070113B" w:rsidRDefault="0070113B" w:rsidP="0070113B">
            <w:r>
              <w:t>All nurses working under this standing order must be signed off as competent to do so by the issuer and have had specific training in this standing order.</w:t>
            </w:r>
          </w:p>
        </w:tc>
      </w:tr>
      <w:tr w:rsidR="0070113B" w14:paraId="512E1222" w14:textId="77777777" w:rsidTr="001162FE">
        <w:tc>
          <w:tcPr>
            <w:tcW w:w="2689" w:type="dxa"/>
          </w:tcPr>
          <w:p w14:paraId="192AA7E8" w14:textId="77777777" w:rsidR="0070113B" w:rsidRPr="0064385C" w:rsidRDefault="0070113B" w:rsidP="0070113B">
            <w:pPr>
              <w:rPr>
                <w:b/>
              </w:rPr>
            </w:pPr>
            <w:r w:rsidRPr="0064385C">
              <w:rPr>
                <w:b/>
              </w:rPr>
              <w:t>Supporting documentation</w:t>
            </w:r>
          </w:p>
        </w:tc>
        <w:tc>
          <w:tcPr>
            <w:tcW w:w="8073" w:type="dxa"/>
          </w:tcPr>
          <w:p w14:paraId="14782528" w14:textId="77777777" w:rsidR="00476AA6" w:rsidRDefault="00476AA6" w:rsidP="00476AA6">
            <w:proofErr w:type="spellStart"/>
            <w:r>
              <w:t>Healthpathways</w:t>
            </w:r>
            <w:proofErr w:type="spellEnd"/>
            <w:r>
              <w:t xml:space="preserve"> at </w:t>
            </w:r>
            <w:hyperlink r:id="rId9" w:history="1">
              <w:r w:rsidRPr="00254A91">
                <w:rPr>
                  <w:rStyle w:val="Hyperlink"/>
                </w:rPr>
                <w:t>www.healthpathways.org.nz</w:t>
              </w:r>
            </w:hyperlink>
            <w:r>
              <w:t xml:space="preserve"> </w:t>
            </w:r>
          </w:p>
          <w:p w14:paraId="60363A02" w14:textId="77777777" w:rsidR="00476AA6" w:rsidRDefault="00476AA6" w:rsidP="00476AA6">
            <w:r>
              <w:t xml:space="preserve">Best Practice Journal at </w:t>
            </w:r>
            <w:hyperlink r:id="rId10" w:history="1">
              <w:r w:rsidRPr="00254A91">
                <w:rPr>
                  <w:rStyle w:val="Hyperlink"/>
                </w:rPr>
                <w:t>www.bpac.org.nz</w:t>
              </w:r>
            </w:hyperlink>
            <w:r>
              <w:t xml:space="preserve"> </w:t>
            </w:r>
          </w:p>
          <w:p w14:paraId="1B5C4DB3" w14:textId="77777777" w:rsidR="00476AA6" w:rsidRDefault="00476AA6" w:rsidP="00476AA6">
            <w:r>
              <w:t xml:space="preserve">New Zealand Formulary at </w:t>
            </w:r>
            <w:hyperlink r:id="rId11" w:history="1">
              <w:r w:rsidRPr="00254A91">
                <w:rPr>
                  <w:rStyle w:val="Hyperlink"/>
                </w:rPr>
                <w:t>www.nzf.org.nz</w:t>
              </w:r>
            </w:hyperlink>
            <w:r>
              <w:t xml:space="preserve"> </w:t>
            </w:r>
          </w:p>
          <w:p w14:paraId="3F1D7FE1" w14:textId="77777777" w:rsidR="00476AA6" w:rsidRDefault="00476AA6" w:rsidP="00476AA6">
            <w:r>
              <w:t xml:space="preserve">Individual medicine data sheets at </w:t>
            </w:r>
            <w:hyperlink r:id="rId12" w:history="1">
              <w:r w:rsidRPr="00254A91">
                <w:rPr>
                  <w:rStyle w:val="Hyperlink"/>
                </w:rPr>
                <w:t>www.medsafe.govt.nz</w:t>
              </w:r>
            </w:hyperlink>
            <w:r>
              <w:t xml:space="preserve"> </w:t>
            </w:r>
          </w:p>
          <w:p w14:paraId="69BFA8E3" w14:textId="77777777" w:rsidR="005216BC" w:rsidRDefault="00476AA6" w:rsidP="0070113B">
            <w:r>
              <w:t>Standing Order Guidelines, Ministry of Health, 2012</w:t>
            </w:r>
          </w:p>
          <w:p w14:paraId="78BEF79C" w14:textId="77777777" w:rsidR="00E75E4F" w:rsidRDefault="00E75E4F" w:rsidP="0070113B">
            <w:r>
              <w:t>Medicines (Standing Order) Regulations 2012 (Standing Order Regulations)</w:t>
            </w:r>
          </w:p>
        </w:tc>
      </w:tr>
      <w:tr w:rsidR="0070113B" w14:paraId="05CF22CF" w14:textId="77777777" w:rsidTr="001162FE">
        <w:tc>
          <w:tcPr>
            <w:tcW w:w="2689" w:type="dxa"/>
          </w:tcPr>
          <w:p w14:paraId="6F7A82EE" w14:textId="77777777" w:rsidR="0070113B" w:rsidRPr="0064385C" w:rsidRDefault="0070113B" w:rsidP="0070113B">
            <w:pPr>
              <w:rPr>
                <w:b/>
              </w:rPr>
            </w:pPr>
            <w:r w:rsidRPr="0064385C">
              <w:rPr>
                <w:b/>
              </w:rPr>
              <w:t>Definition of terms used in standing order</w:t>
            </w:r>
          </w:p>
        </w:tc>
        <w:tc>
          <w:tcPr>
            <w:tcW w:w="8073" w:type="dxa"/>
          </w:tcPr>
          <w:p w14:paraId="49FDE9D5" w14:textId="77777777" w:rsidR="0070113B" w:rsidRDefault="00921D93" w:rsidP="0070113B">
            <w:r w:rsidRPr="00921D93">
              <w:rPr>
                <w:u w:val="single"/>
              </w:rPr>
              <w:t>Macules</w:t>
            </w:r>
            <w:r>
              <w:t>- an area of discoloration of the skin.</w:t>
            </w:r>
          </w:p>
          <w:p w14:paraId="2D007682" w14:textId="77777777" w:rsidR="00921D93" w:rsidRDefault="00921D93" w:rsidP="0070113B">
            <w:proofErr w:type="spellStart"/>
            <w:r w:rsidRPr="00921D93">
              <w:rPr>
                <w:u w:val="single"/>
              </w:rPr>
              <w:t>Papular</w:t>
            </w:r>
            <w:proofErr w:type="spellEnd"/>
            <w:r>
              <w:t>- small solid, usually inflammatory elevations of the skin that does not contain pus.</w:t>
            </w:r>
          </w:p>
        </w:tc>
      </w:tr>
    </w:tbl>
    <w:p w14:paraId="767720E9" w14:textId="77777777" w:rsidR="001162FE" w:rsidRDefault="001162FE"/>
    <w:p w14:paraId="53366FF2"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0F8E010C" w14:textId="77777777" w:rsidTr="00884256">
        <w:tc>
          <w:tcPr>
            <w:tcW w:w="2689" w:type="dxa"/>
          </w:tcPr>
          <w:p w14:paraId="6A7186EE" w14:textId="77777777" w:rsidR="008C2A3F" w:rsidRPr="0064385C" w:rsidRDefault="008C2A3F" w:rsidP="00884256">
            <w:pPr>
              <w:rPr>
                <w:b/>
              </w:rPr>
            </w:pPr>
            <w:r w:rsidRPr="0064385C">
              <w:rPr>
                <w:b/>
              </w:rPr>
              <w:t>Medical Centre or Clinic</w:t>
            </w:r>
            <w:r w:rsidR="0064385C" w:rsidRPr="0064385C">
              <w:rPr>
                <w:b/>
              </w:rPr>
              <w:t>:</w:t>
            </w:r>
          </w:p>
        </w:tc>
        <w:tc>
          <w:tcPr>
            <w:tcW w:w="8073" w:type="dxa"/>
          </w:tcPr>
          <w:p w14:paraId="20524782" w14:textId="77777777" w:rsidR="008C2A3F" w:rsidRDefault="008C2A3F" w:rsidP="00884256"/>
        </w:tc>
      </w:tr>
    </w:tbl>
    <w:p w14:paraId="55CAF363" w14:textId="77777777" w:rsidR="001162FE" w:rsidRDefault="001162FE"/>
    <w:tbl>
      <w:tblPr>
        <w:tblStyle w:val="TableGrid"/>
        <w:tblW w:w="0" w:type="auto"/>
        <w:tblLook w:val="04A0" w:firstRow="1" w:lastRow="0" w:firstColumn="1" w:lastColumn="0" w:noHBand="0" w:noVBand="1"/>
      </w:tblPr>
      <w:tblGrid>
        <w:gridCol w:w="2122"/>
      </w:tblGrid>
      <w:tr w:rsidR="001162FE" w14:paraId="119A6FFD" w14:textId="77777777" w:rsidTr="00877CF2">
        <w:tc>
          <w:tcPr>
            <w:tcW w:w="2122" w:type="dxa"/>
          </w:tcPr>
          <w:p w14:paraId="65E8087C" w14:textId="77777777" w:rsidR="001162FE" w:rsidRPr="0064385C" w:rsidRDefault="00877CF2">
            <w:pPr>
              <w:rPr>
                <w:b/>
              </w:rPr>
            </w:pPr>
            <w:r w:rsidRPr="0064385C">
              <w:rPr>
                <w:b/>
              </w:rPr>
              <w:t>Signed by issuers</w:t>
            </w:r>
          </w:p>
        </w:tc>
      </w:tr>
    </w:tbl>
    <w:p w14:paraId="6CC708CF" w14:textId="77777777" w:rsidR="001162FE" w:rsidRDefault="001162FE"/>
    <w:p w14:paraId="2AA9ED7A" w14:textId="77777777" w:rsidR="001162FE" w:rsidRDefault="001162FE">
      <w:r>
        <w:t>Name:</w:t>
      </w:r>
      <w:r>
        <w:tab/>
        <w:t>____________________________</w:t>
      </w:r>
      <w:r>
        <w:tab/>
      </w:r>
      <w:r>
        <w:tab/>
        <w:t>Signature: __________________________</w:t>
      </w:r>
    </w:p>
    <w:p w14:paraId="540839F6"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7028A6D0" w14:textId="77777777" w:rsidTr="0064385C">
        <w:trPr>
          <w:trHeight w:val="123"/>
        </w:trPr>
        <w:tc>
          <w:tcPr>
            <w:tcW w:w="4531" w:type="dxa"/>
          </w:tcPr>
          <w:p w14:paraId="5AA467A2" w14:textId="77777777" w:rsidR="001162FE" w:rsidRPr="0064385C" w:rsidRDefault="001162FE">
            <w:pPr>
              <w:rPr>
                <w:b/>
              </w:rPr>
            </w:pPr>
            <w:r w:rsidRPr="0064385C">
              <w:rPr>
                <w:b/>
              </w:rPr>
              <w:t>Nurses operating under this standing order</w:t>
            </w:r>
          </w:p>
        </w:tc>
      </w:tr>
    </w:tbl>
    <w:p w14:paraId="62946828" w14:textId="77777777" w:rsidR="001162FE" w:rsidRDefault="001162FE"/>
    <w:p w14:paraId="726CA444" w14:textId="77777777" w:rsidR="0064385C" w:rsidRDefault="0064385C" w:rsidP="0064385C">
      <w:r>
        <w:t xml:space="preserve">Only Registered nurses working within the above medical centre or clinic are authorised to administer medication under this standing order. </w:t>
      </w:r>
    </w:p>
    <w:p w14:paraId="4CE6A775" w14:textId="77777777" w:rsidR="001162FE" w:rsidRDefault="001162FE">
      <w:r>
        <w:lastRenderedPageBreak/>
        <w:t>We the undersigned agree that we have read, understood and will comply with this standing order and all associated documents.</w:t>
      </w:r>
    </w:p>
    <w:p w14:paraId="47B31CEE" w14:textId="77777777" w:rsidR="001162FE" w:rsidRDefault="001162FE"/>
    <w:p w14:paraId="3D699FBE" w14:textId="77777777" w:rsidR="001162FE" w:rsidRDefault="001162FE">
      <w:r>
        <w:t>Name: ______________________   Signature: _________________________</w:t>
      </w:r>
      <w:proofErr w:type="gramStart"/>
      <w:r>
        <w:t>_  Date</w:t>
      </w:r>
      <w:proofErr w:type="gramEnd"/>
      <w:r>
        <w:t>: ______________</w:t>
      </w:r>
    </w:p>
    <w:p w14:paraId="1822083A" w14:textId="77777777" w:rsidR="001162FE" w:rsidRDefault="001162FE" w:rsidP="001162FE">
      <w:r>
        <w:t>Name: ______________________   Signature: _________________________</w:t>
      </w:r>
      <w:proofErr w:type="gramStart"/>
      <w:r>
        <w:t>_  Date</w:t>
      </w:r>
      <w:proofErr w:type="gramEnd"/>
      <w:r>
        <w:t>: ______________</w:t>
      </w:r>
    </w:p>
    <w:p w14:paraId="6CA2687E" w14:textId="77777777" w:rsidR="001162FE" w:rsidRDefault="001162FE" w:rsidP="001162FE">
      <w:r>
        <w:t>Name: ______________________   Signature: _________________________</w:t>
      </w:r>
      <w:proofErr w:type="gramStart"/>
      <w:r>
        <w:t>_  Date</w:t>
      </w:r>
      <w:proofErr w:type="gramEnd"/>
      <w:r>
        <w:t>: ______________</w:t>
      </w:r>
    </w:p>
    <w:p w14:paraId="2D8F984B" w14:textId="77777777" w:rsidR="001162FE" w:rsidRDefault="001162FE" w:rsidP="001162FE">
      <w:r>
        <w:t>Name: ______________________   Signature: _________________________</w:t>
      </w:r>
      <w:proofErr w:type="gramStart"/>
      <w:r>
        <w:t>_  Date</w:t>
      </w:r>
      <w:proofErr w:type="gramEnd"/>
      <w:r>
        <w:t>: ______________</w:t>
      </w:r>
    </w:p>
    <w:p w14:paraId="78D24C16" w14:textId="77777777" w:rsidR="001162FE" w:rsidRDefault="001162FE"/>
    <w:sectPr w:rsidR="001162FE" w:rsidSect="00D270A8">
      <w:footerReference w:type="default" r:id="rId1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2A6EA" w14:textId="77777777" w:rsidR="0073280B" w:rsidRDefault="0073280B" w:rsidP="00E75E4F">
      <w:pPr>
        <w:spacing w:after="0" w:line="240" w:lineRule="auto"/>
      </w:pPr>
      <w:r>
        <w:separator/>
      </w:r>
    </w:p>
  </w:endnote>
  <w:endnote w:type="continuationSeparator" w:id="0">
    <w:p w14:paraId="7085C560" w14:textId="77777777" w:rsidR="0073280B" w:rsidRDefault="0073280B" w:rsidP="00E7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ADF9" w14:textId="17AD10D0" w:rsidR="0073280B" w:rsidRDefault="0073280B">
    <w:pPr>
      <w:pStyle w:val="Footer"/>
    </w:pPr>
    <w:r>
      <w:t>Herpes Zoster Standing Order</w:t>
    </w:r>
    <w:r>
      <w:tab/>
    </w:r>
    <w:r w:rsidR="00013CFE">
      <w:t>December</w:t>
    </w:r>
    <w:r>
      <w:t xml:space="preserve"> 2015</w:t>
    </w:r>
    <w:r>
      <w:tab/>
      <w:t>WellSouth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6940" w14:textId="77777777" w:rsidR="0073280B" w:rsidRDefault="0073280B" w:rsidP="00E75E4F">
      <w:pPr>
        <w:spacing w:after="0" w:line="240" w:lineRule="auto"/>
      </w:pPr>
      <w:r>
        <w:separator/>
      </w:r>
    </w:p>
  </w:footnote>
  <w:footnote w:type="continuationSeparator" w:id="0">
    <w:p w14:paraId="733267CA" w14:textId="77777777" w:rsidR="0073280B" w:rsidRDefault="0073280B" w:rsidP="00E7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6571"/>
    <w:multiLevelType w:val="hybridMultilevel"/>
    <w:tmpl w:val="D2F8ED26"/>
    <w:lvl w:ilvl="0" w:tplc="2B60565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F774AB"/>
    <w:multiLevelType w:val="hybridMultilevel"/>
    <w:tmpl w:val="6DD4D3D0"/>
    <w:lvl w:ilvl="0" w:tplc="DB68DFD6">
      <w:numFmt w:val="bullet"/>
      <w:lvlText w:val="•"/>
      <w:lvlJc w:val="left"/>
      <w:pPr>
        <w:ind w:left="1080" w:hanging="72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7B8220C"/>
    <w:multiLevelType w:val="hybridMultilevel"/>
    <w:tmpl w:val="2026A230"/>
    <w:lvl w:ilvl="0" w:tplc="DB68DFD6">
      <w:start w:val="3"/>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0854444"/>
    <w:multiLevelType w:val="hybridMultilevel"/>
    <w:tmpl w:val="5E0C4852"/>
    <w:lvl w:ilvl="0" w:tplc="9774D89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2B92F39"/>
    <w:multiLevelType w:val="hybridMultilevel"/>
    <w:tmpl w:val="CD224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66E49D6"/>
    <w:multiLevelType w:val="hybridMultilevel"/>
    <w:tmpl w:val="A1744FCA"/>
    <w:lvl w:ilvl="0" w:tplc="DB68DFD6">
      <w:numFmt w:val="bullet"/>
      <w:lvlText w:val="•"/>
      <w:lvlJc w:val="left"/>
      <w:pPr>
        <w:ind w:left="1080" w:hanging="72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C1043DD"/>
    <w:multiLevelType w:val="hybridMultilevel"/>
    <w:tmpl w:val="725CA3F0"/>
    <w:lvl w:ilvl="0" w:tplc="DB68DFD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13CFE"/>
    <w:rsid w:val="000E47A6"/>
    <w:rsid w:val="001162FE"/>
    <w:rsid w:val="00123A68"/>
    <w:rsid w:val="002A4F5D"/>
    <w:rsid w:val="00476AA6"/>
    <w:rsid w:val="004826CF"/>
    <w:rsid w:val="005216BC"/>
    <w:rsid w:val="005974BE"/>
    <w:rsid w:val="005E7B28"/>
    <w:rsid w:val="0064385C"/>
    <w:rsid w:val="0070113B"/>
    <w:rsid w:val="0073280B"/>
    <w:rsid w:val="00737CAA"/>
    <w:rsid w:val="00853012"/>
    <w:rsid w:val="00877CF2"/>
    <w:rsid w:val="00884256"/>
    <w:rsid w:val="008B7E43"/>
    <w:rsid w:val="008C2A3F"/>
    <w:rsid w:val="00921D93"/>
    <w:rsid w:val="00A026CB"/>
    <w:rsid w:val="00AC0223"/>
    <w:rsid w:val="00AF213C"/>
    <w:rsid w:val="00B7520B"/>
    <w:rsid w:val="00C25E16"/>
    <w:rsid w:val="00CA7E6D"/>
    <w:rsid w:val="00D270A8"/>
    <w:rsid w:val="00E75E4F"/>
    <w:rsid w:val="00F52A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EEA9"/>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AF213C"/>
    <w:pPr>
      <w:ind w:left="720"/>
      <w:contextualSpacing/>
    </w:pPr>
  </w:style>
  <w:style w:type="paragraph" w:styleId="Header">
    <w:name w:val="header"/>
    <w:basedOn w:val="Normal"/>
    <w:link w:val="HeaderChar"/>
    <w:uiPriority w:val="99"/>
    <w:unhideWhenUsed/>
    <w:rsid w:val="00E7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4F"/>
  </w:style>
  <w:style w:type="paragraph" w:styleId="Footer">
    <w:name w:val="footer"/>
    <w:basedOn w:val="Normal"/>
    <w:link w:val="FooterChar"/>
    <w:uiPriority w:val="99"/>
    <w:unhideWhenUsed/>
    <w:rsid w:val="00E7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4F"/>
  </w:style>
  <w:style w:type="character" w:styleId="CommentReference">
    <w:name w:val="annotation reference"/>
    <w:basedOn w:val="DefaultParagraphFont"/>
    <w:uiPriority w:val="99"/>
    <w:semiHidden/>
    <w:unhideWhenUsed/>
    <w:rsid w:val="00C25E16"/>
    <w:rPr>
      <w:sz w:val="16"/>
      <w:szCs w:val="16"/>
    </w:rPr>
  </w:style>
  <w:style w:type="paragraph" w:styleId="CommentText">
    <w:name w:val="annotation text"/>
    <w:basedOn w:val="Normal"/>
    <w:link w:val="CommentTextChar"/>
    <w:uiPriority w:val="99"/>
    <w:semiHidden/>
    <w:unhideWhenUsed/>
    <w:rsid w:val="00C25E16"/>
    <w:pPr>
      <w:spacing w:line="240" w:lineRule="auto"/>
    </w:pPr>
    <w:rPr>
      <w:sz w:val="20"/>
      <w:szCs w:val="20"/>
    </w:rPr>
  </w:style>
  <w:style w:type="character" w:customStyle="1" w:styleId="CommentTextChar">
    <w:name w:val="Comment Text Char"/>
    <w:basedOn w:val="DefaultParagraphFont"/>
    <w:link w:val="CommentText"/>
    <w:uiPriority w:val="99"/>
    <w:semiHidden/>
    <w:rsid w:val="00C25E16"/>
    <w:rPr>
      <w:sz w:val="20"/>
      <w:szCs w:val="20"/>
    </w:rPr>
  </w:style>
  <w:style w:type="paragraph" w:styleId="CommentSubject">
    <w:name w:val="annotation subject"/>
    <w:basedOn w:val="CommentText"/>
    <w:next w:val="CommentText"/>
    <w:link w:val="CommentSubjectChar"/>
    <w:uiPriority w:val="99"/>
    <w:semiHidden/>
    <w:unhideWhenUsed/>
    <w:rsid w:val="00C25E16"/>
    <w:rPr>
      <w:b/>
      <w:bCs/>
    </w:rPr>
  </w:style>
  <w:style w:type="character" w:customStyle="1" w:styleId="CommentSubjectChar">
    <w:name w:val="Comment Subject Char"/>
    <w:basedOn w:val="CommentTextChar"/>
    <w:link w:val="CommentSubject"/>
    <w:uiPriority w:val="99"/>
    <w:semiHidden/>
    <w:rsid w:val="00C25E16"/>
    <w:rPr>
      <w:b/>
      <w:bCs/>
      <w:sz w:val="20"/>
      <w:szCs w:val="20"/>
    </w:rPr>
  </w:style>
  <w:style w:type="paragraph" w:styleId="BalloonText">
    <w:name w:val="Balloon Text"/>
    <w:basedOn w:val="Normal"/>
    <w:link w:val="BalloonTextChar"/>
    <w:uiPriority w:val="99"/>
    <w:semiHidden/>
    <w:unhideWhenUsed/>
    <w:rsid w:val="00C25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16"/>
    <w:rPr>
      <w:rFonts w:ascii="Segoe UI" w:hAnsi="Segoe UI" w:cs="Segoe UI"/>
      <w:sz w:val="18"/>
      <w:szCs w:val="18"/>
    </w:rPr>
  </w:style>
  <w:style w:type="paragraph" w:styleId="Revision">
    <w:name w:val="Revision"/>
    <w:hidden/>
    <w:uiPriority w:val="99"/>
    <w:semiHidden/>
    <w:rsid w:val="00013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safe.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f.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pac.org.nz" TargetMode="External"/><Relationship Id="rId4" Type="http://schemas.openxmlformats.org/officeDocument/2006/relationships/settings" Target="settings.xml"/><Relationship Id="rId9" Type="http://schemas.openxmlformats.org/officeDocument/2006/relationships/hyperlink" Target="http://www.healthpathways.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5A4E-7C62-4A94-9388-9C9EDC8C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169B0359</Template>
  <TotalTime>4</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Lisa Johnston</cp:lastModifiedBy>
  <cp:revision>4</cp:revision>
  <dcterms:created xsi:type="dcterms:W3CDTF">2015-12-10T01:48:00Z</dcterms:created>
  <dcterms:modified xsi:type="dcterms:W3CDTF">2015-12-10T21:53:00Z</dcterms:modified>
</cp:coreProperties>
</file>